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Arial" w:hAnsi="Arial" w:cs="Arial"/>
          <w:b/>
          <w:b/>
          <w:color w:val="000000" w:themeColor="text1"/>
          <w:sz w:val="32"/>
          <w:szCs w:val="32"/>
        </w:rPr>
      </w:pPr>
      <w:r>
        <w:rPr>
          <w:rFonts w:cs="Arial" w:ascii="Arial" w:hAnsi="Arial"/>
          <w:b/>
          <w:color w:val="000000" w:themeColor="text1"/>
          <w:sz w:val="32"/>
          <w:szCs w:val="32"/>
        </w:rPr>
      </w:r>
    </w:p>
    <w:p>
      <w:pPr>
        <w:pStyle w:val="Normal"/>
        <w:rPr>
          <w:rFonts w:ascii="Arial" w:hAnsi="Arial" w:cs="Arial"/>
          <w:b/>
          <w:b/>
          <w:color w:val="000000" w:themeColor="text1"/>
        </w:rPr>
      </w:pPr>
      <w:r>
        <w:rPr>
          <w:rFonts w:cs="Arial" w:ascii="Arial" w:hAnsi="Arial"/>
          <w:b/>
          <w:color w:val="000000" w:themeColor="text1"/>
        </w:rPr>
      </w:r>
    </w:p>
    <w:p>
      <w:pPr>
        <w:pStyle w:val="Normal"/>
        <w:rPr>
          <w:rFonts w:ascii="Arial" w:hAnsi="Arial" w:cs="Arial"/>
          <w:b/>
          <w:b/>
          <w:color w:val="000000" w:themeColor="text1"/>
        </w:rPr>
      </w:pPr>
      <w:r>
        <w:rPr>
          <w:rFonts w:cs="Arial" w:ascii="Arial" w:hAnsi="Arial"/>
          <w:b/>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b/>
          <w:b/>
          <w:color w:val="000000" w:themeColor="text1"/>
          <w:sz w:val="52"/>
          <w:szCs w:val="36"/>
        </w:rPr>
      </w:pPr>
      <w:r>
        <w:rPr>
          <w:rFonts w:cs="Arial" w:ascii="Arial" w:hAnsi="Arial"/>
          <w:b/>
          <w:color w:val="000000" w:themeColor="text1"/>
          <w:sz w:val="52"/>
          <w:szCs w:val="36"/>
        </w:rPr>
        <w:t>Data Protection Impact Assessment</w:t>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color w:val="000000" w:themeColor="text1"/>
        </w:rPr>
      </w:pPr>
      <w:r>
        <w:rPr>
          <w:rFonts w:cs="Arial" w:ascii="Arial" w:hAnsi="Arial"/>
          <w:color w:val="000000" w:themeColor="text1"/>
        </w:rPr>
      </w:r>
    </w:p>
    <w:p>
      <w:pPr>
        <w:pStyle w:val="Normal"/>
        <w:rPr>
          <w:rFonts w:ascii="Arial" w:hAnsi="Arial" w:cs="Arial"/>
          <w:b/>
          <w:b/>
          <w:color w:val="000000" w:themeColor="text1"/>
          <w:sz w:val="32"/>
          <w:szCs w:val="32"/>
        </w:rPr>
      </w:pPr>
      <w:r>
        <w:rPr>
          <w:rFonts w:cs="Arial" w:ascii="Arial" w:hAnsi="Arial"/>
          <w:b/>
          <w:color w:val="000000" w:themeColor="text1"/>
          <w:sz w:val="32"/>
          <w:szCs w:val="32"/>
        </w:rPr>
      </w:r>
      <w:r>
        <w:br w:type="page"/>
      </w:r>
    </w:p>
    <w:p>
      <w:pPr>
        <w:pStyle w:val="Normal"/>
        <w:pBdr>
          <w:bottom w:val="single" w:sz="4" w:space="1" w:color="000000"/>
        </w:pBdr>
        <w:spacing w:before="0" w:after="0"/>
        <w:rPr>
          <w:rFonts w:ascii="Arial" w:hAnsi="Arial" w:cs="Arial"/>
          <w:b/>
          <w:b/>
          <w:color w:val="000000" w:themeColor="text1"/>
          <w:sz w:val="36"/>
          <w:szCs w:val="32"/>
        </w:rPr>
      </w:pPr>
      <w:r>
        <w:rPr>
          <w:rFonts w:cs="Arial" w:ascii="Arial" w:hAnsi="Arial"/>
          <w:b/>
          <w:color w:val="000000" w:themeColor="text1"/>
          <w:sz w:val="36"/>
          <w:szCs w:val="32"/>
        </w:rPr>
        <w:t>Data Protection Impact Assessment</w:t>
      </w:r>
    </w:p>
    <w:p>
      <w:pPr>
        <w:pStyle w:val="Normal"/>
        <w:spacing w:before="0" w:after="0"/>
        <w:rPr>
          <w:rFonts w:ascii="Arial" w:hAnsi="Arial" w:cs="Arial"/>
          <w:color w:val="000000" w:themeColor="text1"/>
          <w:sz w:val="24"/>
        </w:rPr>
      </w:pPr>
      <w:r>
        <w:rPr>
          <w:rFonts w:cs="Arial" w:ascii="Arial" w:hAnsi="Arial"/>
          <w:color w:val="000000" w:themeColor="text1"/>
          <w:sz w:val="24"/>
        </w:rPr>
      </w:r>
    </w:p>
    <w:p>
      <w:pPr>
        <w:pStyle w:val="Normal"/>
        <w:spacing w:before="0" w:after="0"/>
        <w:rPr>
          <w:rFonts w:ascii="Arial" w:hAnsi="Arial" w:cs="Arial"/>
          <w:color w:val="000000" w:themeColor="text1"/>
        </w:rPr>
      </w:pPr>
      <w:r>
        <w:rPr>
          <w:rFonts w:cs="Arial" w:ascii="Arial" w:hAnsi="Arial"/>
          <w:color w:val="000000" w:themeColor="text1"/>
        </w:rPr>
        <w:t xml:space="preserve">This Data Protection Impact Assessment (DPIA) is a way of analysing how the processing of personal data in a project or piece of work may impact on the rights of data subjects, and identifies and minimises any data protection risks. </w:t>
      </w:r>
    </w:p>
    <w:p>
      <w:pPr>
        <w:pStyle w:val="Normal"/>
        <w:spacing w:before="0" w:after="0"/>
        <w:rPr>
          <w:rFonts w:ascii="Arial" w:hAnsi="Arial" w:cs="Arial"/>
          <w:color w:val="000000" w:themeColor="text1"/>
        </w:rPr>
      </w:pPr>
      <w:r>
        <w:rPr>
          <w:rFonts w:cs="Arial" w:ascii="Arial" w:hAnsi="Arial"/>
          <w:color w:val="000000" w:themeColor="text1"/>
        </w:rPr>
      </w:r>
    </w:p>
    <w:p>
      <w:pPr>
        <w:pStyle w:val="Normal"/>
        <w:spacing w:before="0" w:after="0"/>
        <w:rPr/>
      </w:pPr>
      <w:r>
        <w:rPr>
          <w:rFonts w:cs="Arial" w:ascii="Arial" w:hAnsi="Arial"/>
          <w:color w:val="000000" w:themeColor="text1"/>
        </w:rPr>
        <w:t>This DPIA should be completed by those responsible for the project / piece of work in conjunction with support from the Data Protection Officer.</w:t>
      </w:r>
    </w:p>
    <w:p>
      <w:pPr>
        <w:pStyle w:val="Normal"/>
        <w:pBdr>
          <w:bottom w:val="single" w:sz="4" w:space="1" w:color="000000"/>
        </w:pBdr>
        <w:spacing w:before="0" w:after="0"/>
        <w:rPr>
          <w:rFonts w:ascii="Arial" w:hAnsi="Arial" w:cs="Arial"/>
          <w:color w:val="000000" w:themeColor="text1"/>
          <w:sz w:val="24"/>
        </w:rPr>
      </w:pPr>
      <w:r>
        <w:rPr>
          <w:rFonts w:cs="Arial" w:ascii="Arial" w:hAnsi="Arial"/>
          <w:color w:val="000000" w:themeColor="text1"/>
          <w:sz w:val="24"/>
        </w:rPr>
      </w:r>
    </w:p>
    <w:p>
      <w:pPr>
        <w:pStyle w:val="Normal"/>
        <w:spacing w:before="0" w:after="0"/>
        <w:rPr>
          <w:rFonts w:ascii="Arial" w:hAnsi="Arial" w:cs="Arial"/>
          <w:color w:val="000000" w:themeColor="text1"/>
          <w:sz w:val="24"/>
        </w:rPr>
      </w:pPr>
      <w:r>
        <w:rPr>
          <w:rFonts w:cs="Arial" w:ascii="Arial" w:hAnsi="Arial"/>
          <w:color w:val="000000" w:themeColor="text1"/>
          <w:sz w:val="24"/>
        </w:rPr>
      </w:r>
    </w:p>
    <w:p>
      <w:pPr>
        <w:pStyle w:val="Normal"/>
        <w:spacing w:lineRule="auto" w:line="360" w:before="0" w:after="0"/>
        <w:rPr>
          <w:rFonts w:ascii="Arial" w:hAnsi="Arial" w:cs="Arial"/>
          <w:color w:val="000000" w:themeColor="text1"/>
        </w:rPr>
      </w:pPr>
      <w:r>
        <w:rPr>
          <w:rFonts w:cs="Arial" w:ascii="Arial" w:hAnsi="Arial"/>
          <w:b/>
          <w:color w:val="000000" w:themeColor="text1"/>
        </w:rPr>
        <w:t xml:space="preserve">Project or piece of work being undertaken: </w:t>
      </w:r>
    </w:p>
    <w:p>
      <w:pPr>
        <w:pStyle w:val="Normal"/>
        <w:spacing w:lineRule="auto" w:line="360" w:before="0" w:after="0"/>
        <w:rPr>
          <w:rFonts w:ascii="Arial" w:hAnsi="Arial" w:cs="Arial"/>
          <w:b/>
          <w:b/>
          <w:color w:val="000000" w:themeColor="text1"/>
        </w:rPr>
      </w:pPr>
      <w:r>
        <w:rPr>
          <w:rFonts w:cs="Arial" w:ascii="Arial" w:hAnsi="Arial"/>
          <w:b/>
          <w:color w:val="000000" w:themeColor="text1"/>
        </w:rPr>
      </w:r>
    </w:p>
    <w:p>
      <w:pPr>
        <w:pStyle w:val="Normal"/>
        <w:spacing w:lineRule="auto" w:line="360" w:before="0" w:after="0"/>
        <w:rPr>
          <w:rFonts w:ascii="Arial" w:hAnsi="Arial" w:cs="Arial"/>
          <w:color w:val="000000" w:themeColor="text1"/>
        </w:rPr>
      </w:pPr>
      <w:r>
        <w:rPr>
          <w:rFonts w:cs="Arial" w:ascii="Arial" w:hAnsi="Arial"/>
          <w:b/>
          <w:color w:val="000000" w:themeColor="text1"/>
        </w:rPr>
        <w:t xml:space="preserve">DPIA completed by: </w:t>
      </w:r>
    </w:p>
    <w:p>
      <w:pPr>
        <w:pStyle w:val="Normal"/>
        <w:spacing w:lineRule="auto" w:line="360" w:before="0" w:after="0"/>
        <w:rPr>
          <w:rFonts w:ascii="Arial" w:hAnsi="Arial" w:cs="Arial"/>
          <w:b/>
          <w:b/>
          <w:color w:val="000000" w:themeColor="text1"/>
        </w:rPr>
      </w:pPr>
      <w:r>
        <w:rPr>
          <w:rFonts w:cs="Arial" w:ascii="Arial" w:hAnsi="Arial"/>
          <w:b/>
          <w:color w:val="000000" w:themeColor="text1"/>
        </w:rPr>
      </w:r>
    </w:p>
    <w:p>
      <w:pPr>
        <w:pStyle w:val="Normal"/>
        <w:spacing w:lineRule="auto" w:line="360" w:before="0" w:after="0"/>
        <w:rPr>
          <w:rFonts w:ascii="Arial" w:hAnsi="Arial" w:cs="Arial"/>
          <w:color w:val="000000" w:themeColor="text1"/>
        </w:rPr>
      </w:pPr>
      <w:r>
        <w:rPr>
          <w:rFonts w:cs="Arial" w:ascii="Arial" w:hAnsi="Arial"/>
          <w:b/>
          <w:color w:val="000000" w:themeColor="text1"/>
        </w:rPr>
        <w:t xml:space="preserve">Date of completion: </w:t>
      </w:r>
    </w:p>
    <w:p>
      <w:pPr>
        <w:pStyle w:val="Normal"/>
        <w:pBdr>
          <w:bottom w:val="single" w:sz="4" w:space="1" w:color="000000"/>
        </w:pBdr>
        <w:spacing w:before="0" w:after="0"/>
        <w:rPr>
          <w:rFonts w:ascii="Arial" w:hAnsi="Arial" w:cs="Arial"/>
          <w:color w:val="000000" w:themeColor="text1"/>
          <w:sz w:val="24"/>
        </w:rPr>
      </w:pPr>
      <w:r>
        <w:rPr>
          <w:rFonts w:cs="Arial" w:ascii="Arial" w:hAnsi="Arial"/>
          <w:color w:val="000000" w:themeColor="text1"/>
          <w:sz w:val="24"/>
        </w:rPr>
      </w:r>
    </w:p>
    <w:p>
      <w:pPr>
        <w:pStyle w:val="Normal"/>
        <w:spacing w:before="0" w:after="0"/>
        <w:rPr>
          <w:rFonts w:ascii="Arial" w:hAnsi="Arial" w:cs="Arial"/>
          <w:color w:val="000000" w:themeColor="text1"/>
        </w:rPr>
      </w:pPr>
      <w:r>
        <w:rPr>
          <w:rFonts w:cs="Arial" w:ascii="Arial" w:hAnsi="Arial"/>
          <w:color w:val="000000" w:themeColor="text1"/>
        </w:rPr>
      </w:r>
    </w:p>
    <w:p>
      <w:pPr>
        <w:pStyle w:val="Normal"/>
        <w:spacing w:before="0" w:after="120"/>
        <w:rPr>
          <w:rFonts w:ascii="Arial" w:hAnsi="Arial" w:cs="Arial"/>
          <w:b/>
          <w:b/>
          <w:color w:val="000000" w:themeColor="text1"/>
        </w:rPr>
      </w:pPr>
      <w:r>
        <w:rPr>
          <w:rFonts w:cs="Arial" w:ascii="Arial" w:hAnsi="Arial"/>
          <w:b/>
          <w:color w:val="000000" w:themeColor="text1"/>
        </w:rPr>
        <w:t>Step 1: Identifying the need for a DPIA</w:t>
      </w:r>
    </w:p>
    <w:tbl>
      <w:tblPr>
        <w:tblStyle w:val="TableGrid"/>
        <w:tblW w:w="9736" w:type="dxa"/>
        <w:jc w:val="left"/>
        <w:tblInd w:w="0" w:type="dxa"/>
        <w:tblCellMar>
          <w:top w:w="0" w:type="dxa"/>
          <w:left w:w="108" w:type="dxa"/>
          <w:bottom w:w="0" w:type="dxa"/>
          <w:right w:w="108" w:type="dxa"/>
        </w:tblCellMar>
        <w:tblLook w:noVBand="1" w:val="04a0" w:noHBand="0" w:lastColumn="0" w:firstColumn="1" w:lastRow="0" w:firstRow="1"/>
      </w:tblPr>
      <w:tblGrid>
        <w:gridCol w:w="9736"/>
      </w:tblGrid>
      <w:tr>
        <w:trPr/>
        <w:tc>
          <w:tcPr>
            <w:tcW w:w="9736"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 xml:space="preserve">Explain broadly what the project / piece of work aims to achieve and what type of processing it involves. </w:t>
            </w:r>
          </w:p>
          <w:p>
            <w:pPr>
              <w:pStyle w:val="Normal"/>
              <w:spacing w:lineRule="auto" w:line="240" w:before="0" w:after="0"/>
              <w:rPr>
                <w:rFonts w:ascii="Arial" w:hAnsi="Arial" w:cs="Arial"/>
                <w:color w:val="000000" w:themeColor="text1"/>
              </w:rPr>
            </w:pPr>
            <w:r>
              <w:rPr>
                <w:rFonts w:cs="Arial" w:ascii="Arial" w:hAnsi="Arial"/>
                <w:b/>
                <w:color w:val="000000" w:themeColor="text1"/>
              </w:rPr>
              <w:t>You may find it helpful to refer or link to other documents, such as the project proposal.</w:t>
            </w:r>
            <w:r>
              <w:rPr>
                <w:rFonts w:cs="Arial" w:ascii="Arial" w:hAnsi="Arial"/>
                <w:color w:val="000000" w:themeColor="text1"/>
              </w:rPr>
              <w:t xml:space="preserve"> </w:t>
            </w:r>
          </w:p>
        </w:tc>
      </w:tr>
      <w:tr>
        <w:trPr/>
        <w:tc>
          <w:tcPr>
            <w:tcW w:w="9736"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9736"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Please summarise why you identified the need for a DPIA</w:t>
            </w:r>
          </w:p>
          <w:p>
            <w:pPr>
              <w:pStyle w:val="Normal"/>
              <w:spacing w:lineRule="auto" w:line="240" w:before="0" w:after="0"/>
              <w:rPr/>
            </w:pPr>
            <w:r>
              <w:rPr>
                <w:rFonts w:cs="Arial" w:ascii="Arial" w:hAnsi="Arial"/>
                <w:b/>
                <w:color w:val="000000" w:themeColor="text1"/>
              </w:rPr>
              <w:t xml:space="preserve">Information can be found on the </w:t>
            </w:r>
            <w:r>
              <w:rPr>
                <w:rFonts w:cs="Arial" w:ascii="Arial" w:hAnsi="Arial"/>
                <w:b/>
                <w:color w:val="000000" w:themeColor="text1"/>
              </w:rPr>
              <w:t xml:space="preserve">website </w:t>
            </w:r>
            <w:r>
              <w:rPr>
                <w:rFonts w:cs="Arial" w:ascii="Arial" w:hAnsi="Arial"/>
                <w:b/>
                <w:color w:val="000000" w:themeColor="text1"/>
              </w:rPr>
              <w:t>and you should reference relevant answers from the DPIA screening questionnaire.</w:t>
            </w:r>
          </w:p>
        </w:tc>
      </w:tr>
      <w:tr>
        <w:trPr/>
        <w:tc>
          <w:tcPr>
            <w:tcW w:w="9736"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r>
    </w:tbl>
    <w:p>
      <w:pPr>
        <w:pStyle w:val="Normal"/>
        <w:spacing w:before="0" w:after="120"/>
        <w:rPr>
          <w:rFonts w:ascii="Arial" w:hAnsi="Arial" w:cs="Arial"/>
          <w:b/>
          <w:b/>
          <w:color w:val="000000" w:themeColor="text1"/>
        </w:rPr>
      </w:pPr>
      <w:r>
        <w:rPr>
          <w:rFonts w:cs="Arial" w:ascii="Arial" w:hAnsi="Arial"/>
          <w:b/>
          <w:color w:val="000000" w:themeColor="text1"/>
        </w:rPr>
        <w:t>Step 2: Describe the processing</w:t>
      </w:r>
    </w:p>
    <w:tbl>
      <w:tblPr>
        <w:tblStyle w:val="TableGrid"/>
        <w:tblW w:w="9736" w:type="dxa"/>
        <w:jc w:val="left"/>
        <w:tblInd w:w="0" w:type="dxa"/>
        <w:tblCellMar>
          <w:top w:w="0" w:type="dxa"/>
          <w:left w:w="108" w:type="dxa"/>
          <w:bottom w:w="0" w:type="dxa"/>
          <w:right w:w="108" w:type="dxa"/>
        </w:tblCellMar>
        <w:tblLook w:noVBand="1" w:val="04a0" w:noHBand="0" w:lastColumn="0" w:firstColumn="1" w:lastRow="0" w:firstRow="1"/>
      </w:tblPr>
      <w:tblGrid>
        <w:gridCol w:w="9736"/>
      </w:tblGrid>
      <w:tr>
        <w:trPr/>
        <w:tc>
          <w:tcPr>
            <w:tcW w:w="9736"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Describe the nature of the processing:</w:t>
            </w:r>
          </w:p>
          <w:p>
            <w:pPr>
              <w:pStyle w:val="Normal"/>
              <w:spacing w:lineRule="auto" w:line="240" w:before="0" w:after="0"/>
              <w:rPr>
                <w:rFonts w:ascii="Arial" w:hAnsi="Arial" w:cs="Arial"/>
                <w:color w:val="000000" w:themeColor="text1"/>
              </w:rPr>
            </w:pPr>
            <w:r>
              <w:rPr>
                <w:rFonts w:cs="Arial" w:ascii="Arial" w:hAnsi="Arial"/>
                <w:color w:val="000000" w:themeColor="text1"/>
              </w:rPr>
              <w:t>How will you collect, use, store and delete data? Will you be sharing data with anyone? What types of processing identified as likely high risk are involved?</w:t>
            </w:r>
          </w:p>
        </w:tc>
      </w:tr>
      <w:tr>
        <w:trPr/>
        <w:tc>
          <w:tcPr>
            <w:tcW w:w="9736"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r>
    </w:tbl>
    <w:p>
      <w:pPr>
        <w:pStyle w:val="Normal"/>
        <w:spacing w:before="0" w:after="0"/>
        <w:rPr>
          <w:rFonts w:ascii="Arial" w:hAnsi="Arial" w:cs="Arial"/>
          <w:color w:val="000000" w:themeColor="text1"/>
        </w:rPr>
      </w:pPr>
      <w:r>
        <w:rPr>
          <w:rFonts w:cs="Arial" w:ascii="Arial" w:hAnsi="Arial"/>
          <w:color w:val="000000" w:themeColor="text1"/>
        </w:rPr>
      </w:r>
    </w:p>
    <w:tbl>
      <w:tblPr>
        <w:tblStyle w:val="TableGrid"/>
        <w:tblW w:w="9736" w:type="dxa"/>
        <w:jc w:val="left"/>
        <w:tblInd w:w="0" w:type="dxa"/>
        <w:tblCellMar>
          <w:top w:w="0" w:type="dxa"/>
          <w:left w:w="108" w:type="dxa"/>
          <w:bottom w:w="0" w:type="dxa"/>
          <w:right w:w="108" w:type="dxa"/>
        </w:tblCellMar>
        <w:tblLook w:noVBand="1" w:val="04a0" w:noHBand="0" w:lastColumn="0" w:firstColumn="1" w:lastRow="0" w:firstRow="1"/>
      </w:tblPr>
      <w:tblGrid>
        <w:gridCol w:w="9736"/>
      </w:tblGrid>
      <w:tr>
        <w:trPr/>
        <w:tc>
          <w:tcPr>
            <w:tcW w:w="9736"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Describe the scope of the processing:</w:t>
            </w:r>
          </w:p>
          <w:p>
            <w:pPr>
              <w:pStyle w:val="Normal"/>
              <w:spacing w:lineRule="auto" w:line="240" w:before="0" w:after="0"/>
              <w:rPr>
                <w:rFonts w:ascii="Arial" w:hAnsi="Arial" w:cs="Arial"/>
                <w:color w:val="000000" w:themeColor="text1"/>
              </w:rPr>
            </w:pPr>
            <w:r>
              <w:rPr>
                <w:rFonts w:cs="Arial" w:ascii="Arial" w:hAnsi="Arial"/>
                <w:color w:val="000000" w:themeColor="text1"/>
              </w:rPr>
              <w:t>What is the nature of the data, and does it include special category or criminal offence data? How much data will you be collecting and using? How often? How long will you keep it? How many individuals are affected? What geographical area does it cover?</w:t>
            </w:r>
          </w:p>
        </w:tc>
      </w:tr>
      <w:tr>
        <w:trPr/>
        <w:tc>
          <w:tcPr>
            <w:tcW w:w="9736"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r>
    </w:tbl>
    <w:p>
      <w:pPr>
        <w:pStyle w:val="Normal"/>
        <w:spacing w:before="0" w:after="0"/>
        <w:rPr>
          <w:rFonts w:ascii="Arial" w:hAnsi="Arial" w:cs="Arial"/>
          <w:color w:val="000000" w:themeColor="text1"/>
        </w:rPr>
      </w:pPr>
      <w:r>
        <w:rPr>
          <w:rFonts w:cs="Arial" w:ascii="Arial" w:hAnsi="Arial"/>
          <w:color w:val="000000" w:themeColor="text1"/>
        </w:rPr>
      </w:r>
    </w:p>
    <w:tbl>
      <w:tblPr>
        <w:tblStyle w:val="TableGrid"/>
        <w:tblW w:w="9736" w:type="dxa"/>
        <w:jc w:val="left"/>
        <w:tblInd w:w="0" w:type="dxa"/>
        <w:tblCellMar>
          <w:top w:w="0" w:type="dxa"/>
          <w:left w:w="108" w:type="dxa"/>
          <w:bottom w:w="0" w:type="dxa"/>
          <w:right w:w="108" w:type="dxa"/>
        </w:tblCellMar>
        <w:tblLook w:noVBand="1" w:val="04a0" w:noHBand="0" w:lastColumn="0" w:firstColumn="1" w:lastRow="0" w:firstRow="1"/>
      </w:tblPr>
      <w:tblGrid>
        <w:gridCol w:w="9736"/>
      </w:tblGrid>
      <w:tr>
        <w:trPr/>
        <w:tc>
          <w:tcPr>
            <w:tcW w:w="9736"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Describe the context of the processing:</w:t>
            </w:r>
          </w:p>
          <w:p>
            <w:pPr>
              <w:pStyle w:val="Normal"/>
              <w:spacing w:lineRule="auto" w:line="240" w:before="0" w:after="0"/>
              <w:rPr>
                <w:rFonts w:ascii="Arial" w:hAnsi="Arial" w:cs="Arial"/>
                <w:color w:val="000000" w:themeColor="text1"/>
              </w:rPr>
            </w:pPr>
            <w:r>
              <w:rPr>
                <w:rFonts w:cs="Arial" w:ascii="Arial" w:hAnsi="Arial"/>
                <w:color w:val="000000" w:themeColor="text1"/>
              </w:rPr>
              <w:t xml:space="preserve">What is the nature of your relationship with the individuals? How much control will they have? Would they expect you to use their data in this way? Do they include children or other vulnerable groups? Are there prior concerns over this type of processing or security flaws, or issues with technology? </w:t>
            </w:r>
          </w:p>
        </w:tc>
      </w:tr>
      <w:tr>
        <w:trPr/>
        <w:tc>
          <w:tcPr>
            <w:tcW w:w="9736"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9736"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Describe the purposes of the processing:</w:t>
            </w:r>
          </w:p>
          <w:p>
            <w:pPr>
              <w:pStyle w:val="Normal"/>
              <w:spacing w:lineRule="auto" w:line="240" w:before="0" w:after="0"/>
              <w:rPr>
                <w:rFonts w:ascii="Arial" w:hAnsi="Arial" w:cs="Arial"/>
                <w:color w:val="000000" w:themeColor="text1"/>
              </w:rPr>
            </w:pPr>
            <w:r>
              <w:rPr>
                <w:rFonts w:cs="Arial" w:ascii="Arial" w:hAnsi="Arial"/>
                <w:color w:val="000000" w:themeColor="text1"/>
              </w:rPr>
              <w:t>What do you want to achieve? What is the intended effect on individuals? What are the benefits of the processing for the Organisation and more broadly?</w:t>
            </w:r>
          </w:p>
        </w:tc>
      </w:tr>
      <w:tr>
        <w:trPr/>
        <w:tc>
          <w:tcPr>
            <w:tcW w:w="9736"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r>
    </w:tbl>
    <w:p>
      <w:pPr>
        <w:pStyle w:val="Normal"/>
        <w:spacing w:before="0" w:after="0"/>
        <w:rPr>
          <w:rFonts w:ascii="Arial" w:hAnsi="Arial" w:cs="Arial"/>
          <w:color w:val="000000" w:themeColor="text1"/>
        </w:rPr>
      </w:pPr>
      <w:r>
        <w:rPr>
          <w:rFonts w:cs="Arial" w:ascii="Arial" w:hAnsi="Arial"/>
          <w:color w:val="000000" w:themeColor="text1"/>
        </w:rPr>
      </w:r>
    </w:p>
    <w:p>
      <w:pPr>
        <w:pStyle w:val="Normal"/>
        <w:spacing w:before="0" w:after="0"/>
        <w:rPr>
          <w:rFonts w:ascii="Arial" w:hAnsi="Arial" w:cs="Arial"/>
          <w:b/>
          <w:b/>
          <w:color w:val="000000" w:themeColor="text1"/>
        </w:rPr>
      </w:pPr>
      <w:r>
        <w:rPr>
          <w:rFonts w:cs="Arial" w:ascii="Arial" w:hAnsi="Arial"/>
          <w:b/>
          <w:color w:val="000000" w:themeColor="text1"/>
        </w:rPr>
        <w:t>Step 3: Consultation process</w:t>
      </w:r>
    </w:p>
    <w:p>
      <w:pPr>
        <w:pStyle w:val="Normal"/>
        <w:spacing w:before="0" w:after="0"/>
        <w:rPr>
          <w:rFonts w:ascii="Arial" w:hAnsi="Arial" w:cs="Arial"/>
          <w:b/>
          <w:b/>
          <w:color w:val="000000" w:themeColor="text1"/>
        </w:rPr>
      </w:pPr>
      <w:r>
        <w:rPr>
          <w:rFonts w:cs="Arial" w:ascii="Arial" w:hAnsi="Arial"/>
          <w:b/>
          <w:color w:val="000000" w:themeColor="text1"/>
        </w:rPr>
      </w:r>
    </w:p>
    <w:tbl>
      <w:tblPr>
        <w:tblStyle w:val="TableGrid"/>
        <w:tblW w:w="9736" w:type="dxa"/>
        <w:jc w:val="left"/>
        <w:tblInd w:w="0" w:type="dxa"/>
        <w:tblCellMar>
          <w:top w:w="0" w:type="dxa"/>
          <w:left w:w="108" w:type="dxa"/>
          <w:bottom w:w="0" w:type="dxa"/>
          <w:right w:w="108" w:type="dxa"/>
        </w:tblCellMar>
        <w:tblLook w:noVBand="1" w:val="04a0" w:noHBand="0" w:lastColumn="0" w:firstColumn="1" w:lastRow="0" w:firstRow="1"/>
      </w:tblPr>
      <w:tblGrid>
        <w:gridCol w:w="9736"/>
      </w:tblGrid>
      <w:tr>
        <w:trPr/>
        <w:tc>
          <w:tcPr>
            <w:tcW w:w="9736"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 xml:space="preserve">Consultation with relevant stakeholders: </w:t>
            </w:r>
          </w:p>
          <w:p>
            <w:pPr>
              <w:pStyle w:val="Normal"/>
              <w:spacing w:lineRule="auto" w:line="240" w:before="0" w:after="0"/>
              <w:rPr/>
            </w:pPr>
            <w:r>
              <w:rPr>
                <w:rFonts w:cs="Arial" w:ascii="Arial" w:hAnsi="Arial"/>
                <w:color w:val="000000" w:themeColor="text1"/>
              </w:rPr>
              <w:t>Describe when and how you will seek individuals’ views, or why it is not appropriate to do so. Who else do you need to involve within the Organisation? Do you need to ask any data processors to assist? Will you be consulting with anyone else?</w:t>
            </w:r>
          </w:p>
        </w:tc>
      </w:tr>
      <w:tr>
        <w:trPr/>
        <w:tc>
          <w:tcPr>
            <w:tcW w:w="9736"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r>
    </w:tbl>
    <w:p>
      <w:pPr>
        <w:pStyle w:val="Normal"/>
        <w:spacing w:before="0" w:after="0"/>
        <w:rPr>
          <w:rFonts w:ascii="Arial" w:hAnsi="Arial" w:cs="Arial"/>
          <w:color w:val="000000" w:themeColor="text1"/>
        </w:rPr>
      </w:pPr>
      <w:r>
        <w:rPr>
          <w:rFonts w:cs="Arial" w:ascii="Arial" w:hAnsi="Arial"/>
          <w:color w:val="000000" w:themeColor="text1"/>
        </w:rPr>
      </w:r>
    </w:p>
    <w:p>
      <w:pPr>
        <w:pStyle w:val="Normal"/>
        <w:spacing w:before="0" w:after="0"/>
        <w:rPr>
          <w:rFonts w:ascii="Arial" w:hAnsi="Arial" w:cs="Arial"/>
          <w:b/>
          <w:b/>
          <w:color w:val="000000" w:themeColor="text1"/>
        </w:rPr>
      </w:pPr>
      <w:r>
        <w:rPr>
          <w:rFonts w:cs="Arial" w:ascii="Arial" w:hAnsi="Arial"/>
          <w:b/>
          <w:color w:val="000000" w:themeColor="text1"/>
        </w:rPr>
        <w:t>Step 4: Assess necessity and proportionality</w:t>
      </w:r>
    </w:p>
    <w:p>
      <w:pPr>
        <w:pStyle w:val="Normal"/>
        <w:spacing w:before="0" w:after="0"/>
        <w:rPr>
          <w:rFonts w:ascii="Arial" w:hAnsi="Arial" w:cs="Arial"/>
          <w:color w:val="000000" w:themeColor="text1"/>
        </w:rPr>
      </w:pPr>
      <w:r>
        <w:rPr>
          <w:rFonts w:cs="Arial" w:ascii="Arial" w:hAnsi="Arial"/>
          <w:color w:val="000000" w:themeColor="text1"/>
        </w:rPr>
      </w:r>
    </w:p>
    <w:tbl>
      <w:tblPr>
        <w:tblStyle w:val="TableGrid"/>
        <w:tblW w:w="9736" w:type="dxa"/>
        <w:jc w:val="left"/>
        <w:tblInd w:w="0" w:type="dxa"/>
        <w:tblCellMar>
          <w:top w:w="0" w:type="dxa"/>
          <w:left w:w="108" w:type="dxa"/>
          <w:bottom w:w="0" w:type="dxa"/>
          <w:right w:w="108" w:type="dxa"/>
        </w:tblCellMar>
        <w:tblLook w:noVBand="1" w:val="04a0" w:noHBand="0" w:lastColumn="0" w:firstColumn="1" w:lastRow="0" w:firstRow="1"/>
      </w:tblPr>
      <w:tblGrid>
        <w:gridCol w:w="9736"/>
      </w:tblGrid>
      <w:tr>
        <w:trPr/>
        <w:tc>
          <w:tcPr>
            <w:tcW w:w="9736"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 xml:space="preserve">Describe compliance proportionality measures, in particular: </w:t>
            </w:r>
          </w:p>
          <w:p>
            <w:pPr>
              <w:pStyle w:val="Normal"/>
              <w:spacing w:lineRule="auto" w:line="240" w:before="0" w:after="0"/>
              <w:rPr>
                <w:rFonts w:ascii="Arial" w:hAnsi="Arial" w:cs="Arial"/>
                <w:color w:val="000000" w:themeColor="text1"/>
              </w:rPr>
            </w:pPr>
            <w:r>
              <w:rPr>
                <w:rFonts w:cs="Arial" w:ascii="Arial" w:hAnsi="Arial"/>
                <w:color w:val="000000" w:themeColor="text1"/>
              </w:rPr>
              <w:t>What is your lawful basis for processing? Does the processing achieve your purpose? Is there another way to achieve the same outcome? How will you ensure data quality and data minimisation? What information will you give to individuals? What measures will you take to ensure data processors comply? Will personal data be transferred outside of the EEA?</w:t>
            </w:r>
          </w:p>
        </w:tc>
      </w:tr>
      <w:tr>
        <w:trPr/>
        <w:tc>
          <w:tcPr>
            <w:tcW w:w="9736"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r>
    </w:tbl>
    <w:p>
      <w:pPr>
        <w:pStyle w:val="Normal"/>
        <w:spacing w:before="0" w:after="0"/>
        <w:rPr>
          <w:rFonts w:ascii="Arial" w:hAnsi="Arial" w:cs="Arial"/>
          <w:b/>
          <w:b/>
          <w:color w:val="000000" w:themeColor="text1"/>
        </w:rPr>
      </w:pPr>
      <w:r>
        <w:rPr>
          <w:rFonts w:cs="Arial" w:ascii="Arial" w:hAnsi="Arial"/>
          <w:b/>
          <w:color w:val="000000" w:themeColor="text1"/>
        </w:rPr>
        <w:t>Step 5: Identify and assess risk</w:t>
      </w:r>
    </w:p>
    <w:p>
      <w:pPr>
        <w:pStyle w:val="Normal"/>
        <w:spacing w:before="0" w:after="0"/>
        <w:rPr>
          <w:rFonts w:ascii="Arial" w:hAnsi="Arial" w:cs="Arial"/>
          <w:color w:val="000000" w:themeColor="text1"/>
        </w:rPr>
      </w:pPr>
      <w:r>
        <w:rPr>
          <w:rFonts w:cs="Arial" w:ascii="Arial" w:hAnsi="Arial"/>
          <w:color w:val="000000" w:themeColor="text1"/>
        </w:rPr>
      </w:r>
    </w:p>
    <w:tbl>
      <w:tblPr>
        <w:tblStyle w:val="TableGrid"/>
        <w:tblW w:w="9776" w:type="dxa"/>
        <w:jc w:val="left"/>
        <w:tblInd w:w="0" w:type="dxa"/>
        <w:tblCellMar>
          <w:top w:w="0" w:type="dxa"/>
          <w:left w:w="108" w:type="dxa"/>
          <w:bottom w:w="0" w:type="dxa"/>
          <w:right w:w="108" w:type="dxa"/>
        </w:tblCellMar>
        <w:tblLook w:noVBand="1" w:val="04a0" w:noHBand="0" w:lastColumn="0" w:firstColumn="1" w:lastRow="0" w:firstRow="1"/>
      </w:tblPr>
      <w:tblGrid>
        <w:gridCol w:w="702"/>
        <w:gridCol w:w="4678"/>
        <w:gridCol w:w="1464"/>
        <w:gridCol w:w="1465"/>
        <w:gridCol w:w="1467"/>
      </w:tblGrid>
      <w:tr>
        <w:trPr/>
        <w:tc>
          <w:tcPr>
            <w:tcW w:w="702"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Risk no.</w:t>
            </w:r>
          </w:p>
        </w:tc>
        <w:tc>
          <w:tcPr>
            <w:tcW w:w="4678"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Describe the source of risk and nature of potential impact on individuals</w:t>
            </w:r>
          </w:p>
        </w:tc>
        <w:tc>
          <w:tcPr>
            <w:tcW w:w="1464"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Likelihood of harm:</w:t>
            </w:r>
          </w:p>
          <w:p>
            <w:pPr>
              <w:pStyle w:val="Normal"/>
              <w:spacing w:lineRule="auto" w:line="240" w:before="0" w:after="0"/>
              <w:rPr>
                <w:rFonts w:ascii="Arial" w:hAnsi="Arial" w:cs="Arial"/>
                <w:color w:val="000000" w:themeColor="text1"/>
              </w:rPr>
            </w:pPr>
            <w:r>
              <w:rPr>
                <w:rFonts w:cs="Arial" w:ascii="Arial" w:hAnsi="Arial"/>
                <w:color w:val="000000" w:themeColor="text1"/>
              </w:rPr>
              <w:t>Remote, possible or probable</w:t>
            </w:r>
          </w:p>
        </w:tc>
        <w:tc>
          <w:tcPr>
            <w:tcW w:w="1465"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Severity of harm:</w:t>
            </w:r>
          </w:p>
          <w:p>
            <w:pPr>
              <w:pStyle w:val="Normal"/>
              <w:spacing w:lineRule="auto" w:line="240" w:before="0" w:after="0"/>
              <w:rPr>
                <w:rFonts w:ascii="Arial" w:hAnsi="Arial" w:cs="Arial"/>
                <w:color w:val="000000" w:themeColor="text1"/>
              </w:rPr>
            </w:pPr>
            <w:r>
              <w:rPr>
                <w:rFonts w:cs="Arial" w:ascii="Arial" w:hAnsi="Arial"/>
                <w:color w:val="000000" w:themeColor="text1"/>
              </w:rPr>
              <w:t>Minimal, significant or severe</w:t>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b/>
                <w:color w:val="000000" w:themeColor="text1"/>
              </w:rPr>
              <w:t>Overall risk:</w:t>
            </w:r>
          </w:p>
          <w:p>
            <w:pPr>
              <w:pStyle w:val="Normal"/>
              <w:spacing w:lineRule="auto" w:line="240" w:before="0" w:after="0"/>
              <w:rPr>
                <w:rFonts w:ascii="Arial" w:hAnsi="Arial" w:cs="Arial"/>
                <w:color w:val="000000" w:themeColor="text1"/>
              </w:rPr>
            </w:pPr>
            <w:r>
              <w:rPr>
                <w:rFonts w:cs="Arial" w:ascii="Arial" w:hAnsi="Arial"/>
                <w:color w:val="000000" w:themeColor="text1"/>
              </w:rPr>
              <w:t>Low, medium or high</w:t>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1</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2</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3</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4</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5</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6</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7</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8</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bl>
    <w:p>
      <w:pPr>
        <w:pStyle w:val="Normal"/>
        <w:spacing w:before="0" w:after="0"/>
        <w:rPr>
          <w:rFonts w:ascii="Arial" w:hAnsi="Arial" w:cs="Arial"/>
        </w:rPr>
      </w:pPr>
      <w:r>
        <w:rPr>
          <w:rFonts w:cs="Arial" w:ascii="Arial" w:hAnsi="Arial"/>
        </w:rPr>
      </w:r>
    </w:p>
    <w:p>
      <w:pPr>
        <w:pStyle w:val="Normal"/>
        <w:spacing w:before="0" w:after="0"/>
        <w:rPr>
          <w:rFonts w:ascii="Arial" w:hAnsi="Arial" w:cs="Arial"/>
          <w:b/>
          <w:b/>
        </w:rPr>
      </w:pPr>
      <w:r>
        <w:rPr>
          <w:rFonts w:cs="Arial" w:ascii="Arial" w:hAnsi="Arial"/>
          <w:b/>
        </w:rPr>
        <w:t>Step 6: Identify measures to reduce risk</w:t>
      </w:r>
    </w:p>
    <w:p>
      <w:pPr>
        <w:pStyle w:val="Normal"/>
        <w:spacing w:before="0" w:after="0"/>
        <w:rPr>
          <w:rFonts w:ascii="Arial" w:hAnsi="Arial" w:cs="Arial"/>
        </w:rPr>
      </w:pPr>
      <w:r>
        <w:rPr>
          <w:rFonts w:cs="Arial" w:ascii="Arial" w:hAnsi="Arial"/>
        </w:rPr>
      </w:r>
    </w:p>
    <w:tbl>
      <w:tblPr>
        <w:tblStyle w:val="TableGrid"/>
        <w:tblW w:w="9776" w:type="dxa"/>
        <w:jc w:val="left"/>
        <w:tblInd w:w="0" w:type="dxa"/>
        <w:tblCellMar>
          <w:top w:w="0" w:type="dxa"/>
          <w:left w:w="108" w:type="dxa"/>
          <w:bottom w:w="0" w:type="dxa"/>
          <w:right w:w="108" w:type="dxa"/>
        </w:tblCellMar>
        <w:tblLook w:noVBand="1" w:val="04a0" w:noHBand="0" w:lastColumn="0" w:firstColumn="1" w:lastRow="0" w:firstRow="1"/>
      </w:tblPr>
      <w:tblGrid>
        <w:gridCol w:w="702"/>
        <w:gridCol w:w="4678"/>
        <w:gridCol w:w="1464"/>
        <w:gridCol w:w="1465"/>
        <w:gridCol w:w="1467"/>
      </w:tblGrid>
      <w:tr>
        <w:trPr/>
        <w:tc>
          <w:tcPr>
            <w:tcW w:w="702"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Risk no.</w:t>
            </w:r>
          </w:p>
        </w:tc>
        <w:tc>
          <w:tcPr>
            <w:tcW w:w="4678"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Options to reduce or eliminate risk</w:t>
            </w:r>
          </w:p>
        </w:tc>
        <w:tc>
          <w:tcPr>
            <w:tcW w:w="1464"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Effect on risk:</w:t>
            </w:r>
          </w:p>
          <w:p>
            <w:pPr>
              <w:pStyle w:val="Normal"/>
              <w:spacing w:lineRule="auto" w:line="240" w:before="0" w:after="0"/>
              <w:rPr>
                <w:rFonts w:ascii="Arial" w:hAnsi="Arial" w:cs="Arial"/>
                <w:color w:val="000000" w:themeColor="text1"/>
              </w:rPr>
            </w:pPr>
            <w:r>
              <w:rPr>
                <w:rFonts w:cs="Arial" w:ascii="Arial" w:hAnsi="Arial"/>
                <w:color w:val="000000" w:themeColor="text1"/>
              </w:rPr>
              <w:t xml:space="preserve">Eliminated, reduced, </w:t>
            </w:r>
          </w:p>
          <w:p>
            <w:pPr>
              <w:pStyle w:val="Normal"/>
              <w:spacing w:lineRule="auto" w:line="240" w:before="0" w:after="0"/>
              <w:rPr>
                <w:rFonts w:ascii="Arial" w:hAnsi="Arial" w:cs="Arial"/>
                <w:color w:val="000000" w:themeColor="text1"/>
              </w:rPr>
            </w:pPr>
            <w:r>
              <w:rPr>
                <w:rFonts w:cs="Arial" w:ascii="Arial" w:hAnsi="Arial"/>
                <w:color w:val="000000" w:themeColor="text1"/>
              </w:rPr>
              <w:t>accepted</w:t>
            </w:r>
          </w:p>
        </w:tc>
        <w:tc>
          <w:tcPr>
            <w:tcW w:w="1465"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Residual risk:</w:t>
            </w:r>
          </w:p>
          <w:p>
            <w:pPr>
              <w:pStyle w:val="Normal"/>
              <w:spacing w:lineRule="auto" w:line="240" w:before="0" w:after="0"/>
              <w:rPr>
                <w:rFonts w:ascii="Arial" w:hAnsi="Arial" w:cs="Arial"/>
                <w:color w:val="000000" w:themeColor="text1"/>
              </w:rPr>
            </w:pPr>
            <w:r>
              <w:rPr>
                <w:rFonts w:cs="Arial" w:ascii="Arial" w:hAnsi="Arial"/>
                <w:color w:val="000000" w:themeColor="text1"/>
              </w:rPr>
              <w:t>Low, medium, high</w:t>
            </w:r>
          </w:p>
        </w:tc>
        <w:tc>
          <w:tcPr>
            <w:tcW w:w="1467" w:type="dxa"/>
            <w:tcBorders/>
            <w:shd w:fill="auto" w:val="clear"/>
          </w:tcPr>
          <w:p>
            <w:pPr>
              <w:pStyle w:val="Normal"/>
              <w:spacing w:lineRule="auto" w:line="240" w:before="0" w:after="0"/>
              <w:rPr>
                <w:rFonts w:ascii="Arial" w:hAnsi="Arial" w:cs="Arial"/>
                <w:b/>
                <w:b/>
                <w:color w:val="000000" w:themeColor="text1"/>
              </w:rPr>
            </w:pPr>
            <w:r>
              <w:rPr>
                <w:rFonts w:cs="Arial" w:ascii="Arial" w:hAnsi="Arial"/>
                <w:b/>
                <w:color w:val="000000" w:themeColor="text1"/>
              </w:rPr>
              <w:t>Measure approved:</w:t>
            </w:r>
          </w:p>
          <w:p>
            <w:pPr>
              <w:pStyle w:val="Normal"/>
              <w:spacing w:lineRule="auto" w:line="240" w:before="0" w:after="0"/>
              <w:rPr>
                <w:rFonts w:ascii="Arial" w:hAnsi="Arial" w:cs="Arial"/>
                <w:color w:val="000000" w:themeColor="text1"/>
              </w:rPr>
            </w:pPr>
            <w:r>
              <w:rPr>
                <w:rFonts w:cs="Arial" w:ascii="Arial" w:hAnsi="Arial"/>
                <w:color w:val="000000" w:themeColor="text1"/>
              </w:rPr>
              <w:t>Yes / No</w:t>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1</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2</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3</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4</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5</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6</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7</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r>
        <w:trPr/>
        <w:tc>
          <w:tcPr>
            <w:tcW w:w="702"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t>8</w:t>
            </w:r>
          </w:p>
        </w:tc>
        <w:tc>
          <w:tcPr>
            <w:tcW w:w="4678"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4"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5"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c>
          <w:tcPr>
            <w:tcW w:w="1467" w:type="dxa"/>
            <w:tcBorders/>
            <w:shd w:fill="auto" w:val="clear"/>
          </w:tcPr>
          <w:p>
            <w:pPr>
              <w:pStyle w:val="Normal"/>
              <w:spacing w:lineRule="auto" w:line="240" w:before="0" w:after="0"/>
              <w:rPr>
                <w:rFonts w:ascii="Arial" w:hAnsi="Arial" w:cs="Arial"/>
                <w:color w:val="000000" w:themeColor="text1"/>
              </w:rPr>
            </w:pPr>
            <w:r>
              <w:rPr>
                <w:rFonts w:cs="Arial" w:ascii="Arial" w:hAnsi="Arial"/>
                <w:color w:val="000000" w:themeColor="text1"/>
              </w:rPr>
            </w:r>
          </w:p>
        </w:tc>
      </w:tr>
    </w:tbl>
    <w:p>
      <w:pPr>
        <w:pStyle w:val="Normal"/>
        <w:spacing w:before="0" w:after="0"/>
        <w:rPr>
          <w:rFonts w:ascii="Arial" w:hAnsi="Arial" w:cs="Arial"/>
        </w:rPr>
      </w:pPr>
      <w:r>
        <w:rPr>
          <w:rFonts w:cs="Arial" w:ascii="Arial" w:hAnsi="Arial"/>
        </w:rPr>
      </w:r>
    </w:p>
    <w:p>
      <w:pPr>
        <w:pStyle w:val="Normal"/>
        <w:spacing w:before="0" w:after="0"/>
        <w:rPr>
          <w:rFonts w:ascii="Arial" w:hAnsi="Arial" w:cs="Arial"/>
          <w:b/>
          <w:b/>
        </w:rPr>
      </w:pPr>
      <w:r>
        <w:rPr>
          <w:rFonts w:cs="Arial" w:ascii="Arial" w:hAnsi="Arial"/>
          <w:b/>
        </w:rPr>
        <w:t xml:space="preserve">Step 7: Sign off and outcomes </w:t>
      </w:r>
    </w:p>
    <w:p>
      <w:pPr>
        <w:pStyle w:val="Normal"/>
        <w:spacing w:before="0" w:after="0"/>
        <w:rPr>
          <w:rFonts w:ascii="Arial" w:hAnsi="Arial" w:cs="Arial"/>
        </w:rPr>
      </w:pPr>
      <w:r>
        <w:rPr>
          <w:rFonts w:cs="Arial" w:ascii="Arial" w:hAnsi="Arial"/>
        </w:rPr>
      </w:r>
    </w:p>
    <w:tbl>
      <w:tblPr>
        <w:tblStyle w:val="TableGrid"/>
        <w:tblW w:w="9736" w:type="dxa"/>
        <w:jc w:val="left"/>
        <w:tblInd w:w="0" w:type="dxa"/>
        <w:tblCellMar>
          <w:top w:w="0" w:type="dxa"/>
          <w:left w:w="108" w:type="dxa"/>
          <w:bottom w:w="0" w:type="dxa"/>
          <w:right w:w="108" w:type="dxa"/>
        </w:tblCellMar>
        <w:tblLook w:noVBand="1" w:val="04a0" w:noHBand="0" w:lastColumn="0" w:firstColumn="1" w:lastRow="0" w:firstRow="1"/>
      </w:tblPr>
      <w:tblGrid>
        <w:gridCol w:w="3245"/>
        <w:gridCol w:w="3245"/>
        <w:gridCol w:w="3246"/>
      </w:tblGrid>
      <w:tr>
        <w:trPr/>
        <w:tc>
          <w:tcPr>
            <w:tcW w:w="3245" w:type="dxa"/>
            <w:tcBorders/>
            <w:shd w:fill="auto" w:val="clear"/>
          </w:tcPr>
          <w:p>
            <w:pPr>
              <w:pStyle w:val="Normal"/>
              <w:spacing w:lineRule="auto" w:line="240" w:before="0" w:after="0"/>
              <w:rPr>
                <w:rFonts w:ascii="Arial" w:hAnsi="Arial" w:cs="Arial"/>
                <w:b/>
                <w:b/>
              </w:rPr>
            </w:pPr>
            <w:r>
              <w:rPr>
                <w:rFonts w:cs="Arial" w:ascii="Arial" w:hAnsi="Arial"/>
                <w:b/>
              </w:rPr>
              <w:t>Item</w:t>
            </w:r>
          </w:p>
        </w:tc>
        <w:tc>
          <w:tcPr>
            <w:tcW w:w="3245" w:type="dxa"/>
            <w:tcBorders/>
            <w:shd w:fill="auto" w:val="clear"/>
          </w:tcPr>
          <w:p>
            <w:pPr>
              <w:pStyle w:val="Normal"/>
              <w:spacing w:lineRule="auto" w:line="240" w:before="0" w:after="0"/>
              <w:rPr>
                <w:rFonts w:ascii="Arial" w:hAnsi="Arial" w:cs="Arial"/>
                <w:b/>
                <w:b/>
              </w:rPr>
            </w:pPr>
            <w:r>
              <w:rPr>
                <w:rFonts w:cs="Arial" w:ascii="Arial" w:hAnsi="Arial"/>
                <w:b/>
              </w:rPr>
              <w:t>Name</w:t>
            </w:r>
          </w:p>
        </w:tc>
        <w:tc>
          <w:tcPr>
            <w:tcW w:w="3246" w:type="dxa"/>
            <w:tcBorders/>
            <w:shd w:fill="auto" w:val="clear"/>
          </w:tcPr>
          <w:p>
            <w:pPr>
              <w:pStyle w:val="Normal"/>
              <w:spacing w:lineRule="auto" w:line="240" w:before="0" w:after="0"/>
              <w:rPr>
                <w:rFonts w:ascii="Arial" w:hAnsi="Arial" w:cs="Arial"/>
                <w:b/>
                <w:b/>
              </w:rPr>
            </w:pPr>
            <w:r>
              <w:rPr>
                <w:rFonts w:cs="Arial" w:ascii="Arial" w:hAnsi="Arial"/>
                <w:b/>
              </w:rPr>
              <w:t>Date</w:t>
            </w:r>
          </w:p>
        </w:tc>
      </w:tr>
      <w:tr>
        <w:trPr/>
        <w:tc>
          <w:tcPr>
            <w:tcW w:w="3245" w:type="dxa"/>
            <w:tcBorders/>
            <w:shd w:fill="auto" w:val="clear"/>
          </w:tcPr>
          <w:p>
            <w:pPr>
              <w:pStyle w:val="Normal"/>
              <w:spacing w:lineRule="auto" w:line="240" w:before="0" w:after="0"/>
              <w:rPr>
                <w:rFonts w:ascii="Arial" w:hAnsi="Arial" w:cs="Arial"/>
              </w:rPr>
            </w:pPr>
            <w:r>
              <w:rPr>
                <w:rFonts w:cs="Arial" w:ascii="Arial" w:hAnsi="Arial"/>
              </w:rPr>
              <w:t>Measures identified in Step 6 approved by:</w:t>
            </w:r>
          </w:p>
        </w:tc>
        <w:tc>
          <w:tcPr>
            <w:tcW w:w="3245" w:type="dxa"/>
            <w:tcBorders/>
            <w:shd w:fill="auto" w:val="clear"/>
          </w:tcPr>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3246" w:type="dxa"/>
            <w:tcBorders/>
            <w:shd w:fill="auto" w:val="clear"/>
          </w:tcPr>
          <w:p>
            <w:pPr>
              <w:pStyle w:val="Normal"/>
              <w:spacing w:lineRule="auto" w:line="240" w:before="0" w:after="0"/>
              <w:rPr>
                <w:rFonts w:ascii="Arial" w:hAnsi="Arial" w:cs="Arial"/>
                <w:i/>
                <w:i/>
              </w:rPr>
            </w:pPr>
            <w:r>
              <w:rPr>
                <w:rFonts w:cs="Arial" w:ascii="Arial" w:hAnsi="Arial"/>
                <w:i/>
              </w:rPr>
            </w:r>
          </w:p>
        </w:tc>
      </w:tr>
      <w:tr>
        <w:trPr/>
        <w:tc>
          <w:tcPr>
            <w:tcW w:w="9736" w:type="dxa"/>
            <w:gridSpan w:val="3"/>
            <w:tcBorders/>
            <w:shd w:fill="auto" w:val="clear"/>
          </w:tcPr>
          <w:p>
            <w:pPr>
              <w:pStyle w:val="Normal"/>
              <w:spacing w:lineRule="auto" w:line="240" w:before="0" w:after="0"/>
              <w:rPr>
                <w:rFonts w:ascii="Arial" w:hAnsi="Arial" w:cs="Arial"/>
                <w:i/>
                <w:i/>
              </w:rPr>
            </w:pPr>
            <w:r>
              <w:rPr>
                <w:rFonts w:cs="Arial" w:ascii="Arial" w:hAnsi="Arial"/>
                <w:i/>
              </w:rPr>
              <w:t>Integrate actions back in project plans, with dates and responsibility for completion</w:t>
            </w:r>
          </w:p>
          <w:p>
            <w:pPr>
              <w:pStyle w:val="Normal"/>
              <w:spacing w:lineRule="auto" w:line="240" w:before="0" w:after="0"/>
              <w:rPr>
                <w:rFonts w:ascii="Arial" w:hAnsi="Arial" w:cs="Arial"/>
                <w:i/>
                <w:i/>
              </w:rPr>
            </w:pPr>
            <w:r>
              <w:rPr>
                <w:rFonts w:cs="Arial" w:ascii="Arial" w:hAnsi="Arial"/>
                <w:i/>
              </w:rPr>
            </w:r>
          </w:p>
        </w:tc>
      </w:tr>
      <w:tr>
        <w:trPr/>
        <w:tc>
          <w:tcPr>
            <w:tcW w:w="3245" w:type="dxa"/>
            <w:tcBorders/>
            <w:shd w:fill="auto" w:val="clear"/>
          </w:tcPr>
          <w:p>
            <w:pPr>
              <w:pStyle w:val="Normal"/>
              <w:spacing w:lineRule="auto" w:line="240" w:before="0" w:after="0"/>
              <w:rPr>
                <w:rFonts w:ascii="Arial" w:hAnsi="Arial" w:cs="Arial"/>
              </w:rPr>
            </w:pPr>
            <w:r>
              <w:rPr>
                <w:rFonts w:cs="Arial" w:ascii="Arial" w:hAnsi="Arial"/>
              </w:rPr>
              <w:t>Residual risks identified in Step 6 approved by:</w:t>
            </w:r>
          </w:p>
        </w:tc>
        <w:tc>
          <w:tcPr>
            <w:tcW w:w="3245" w:type="dxa"/>
            <w:tcBorders/>
            <w:shd w:fill="auto" w:val="clear"/>
          </w:tcPr>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3246" w:type="dxa"/>
            <w:tcBorders/>
            <w:shd w:fill="auto" w:val="clear"/>
          </w:tcPr>
          <w:p>
            <w:pPr>
              <w:pStyle w:val="Normal"/>
              <w:spacing w:lineRule="auto" w:line="240" w:before="0" w:after="0"/>
              <w:rPr>
                <w:rFonts w:ascii="Arial" w:hAnsi="Arial" w:cs="Arial"/>
              </w:rPr>
            </w:pPr>
            <w:r>
              <w:rPr>
                <w:rFonts w:cs="Arial" w:ascii="Arial" w:hAnsi="Arial"/>
              </w:rPr>
            </w:r>
          </w:p>
        </w:tc>
      </w:tr>
      <w:tr>
        <w:trPr/>
        <w:tc>
          <w:tcPr>
            <w:tcW w:w="9736" w:type="dxa"/>
            <w:gridSpan w:val="3"/>
            <w:tcBorders/>
            <w:shd w:fill="auto" w:val="clear"/>
          </w:tcPr>
          <w:p>
            <w:pPr>
              <w:pStyle w:val="Normal"/>
              <w:spacing w:lineRule="auto" w:line="240" w:before="0" w:after="0"/>
              <w:rPr>
                <w:rFonts w:ascii="Arial" w:hAnsi="Arial" w:cs="Arial"/>
                <w:i/>
                <w:i/>
              </w:rPr>
            </w:pPr>
            <w:r>
              <w:rPr>
                <w:rFonts w:cs="Arial" w:ascii="Arial" w:hAnsi="Arial"/>
                <w:i/>
              </w:rPr>
              <w:t>If accepting any residual high risks, you must consent with the ICO before proceeding</w:t>
            </w:r>
          </w:p>
          <w:p>
            <w:pPr>
              <w:pStyle w:val="Normal"/>
              <w:spacing w:lineRule="auto" w:line="240" w:before="0" w:after="0"/>
              <w:rPr>
                <w:rFonts w:ascii="Arial" w:hAnsi="Arial" w:cs="Arial"/>
                <w:i/>
                <w:i/>
              </w:rPr>
            </w:pPr>
            <w:r>
              <w:rPr>
                <w:rFonts w:cs="Arial" w:ascii="Arial" w:hAnsi="Arial"/>
                <w:i/>
              </w:rPr>
            </w:r>
          </w:p>
        </w:tc>
      </w:tr>
      <w:tr>
        <w:trPr/>
        <w:tc>
          <w:tcPr>
            <w:tcW w:w="3245" w:type="dxa"/>
            <w:tcBorders/>
            <w:shd w:fill="auto" w:val="clear"/>
          </w:tcPr>
          <w:p>
            <w:pPr>
              <w:pStyle w:val="Normal"/>
              <w:spacing w:lineRule="auto" w:line="240" w:before="0" w:after="0"/>
              <w:rPr>
                <w:rFonts w:ascii="Arial" w:hAnsi="Arial" w:cs="Arial"/>
              </w:rPr>
            </w:pPr>
            <w:r>
              <w:rPr>
                <w:rFonts w:cs="Arial" w:ascii="Arial" w:hAnsi="Arial"/>
              </w:rPr>
              <w:t>DPO approval of completed DPIA:</w:t>
            </w:r>
          </w:p>
        </w:tc>
        <w:tc>
          <w:tcPr>
            <w:tcW w:w="3245" w:type="dxa"/>
            <w:tcBorders/>
            <w:shd w:fill="auto" w:val="clear"/>
          </w:tcPr>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3246" w:type="dxa"/>
            <w:tcBorders/>
            <w:shd w:fill="auto" w:val="clear"/>
          </w:tcPr>
          <w:p>
            <w:pPr>
              <w:pStyle w:val="Normal"/>
              <w:spacing w:lineRule="auto" w:line="240" w:before="0" w:after="0"/>
              <w:rPr>
                <w:rFonts w:ascii="Arial" w:hAnsi="Arial" w:cs="Arial"/>
              </w:rPr>
            </w:pPr>
            <w:r>
              <w:rPr>
                <w:rFonts w:cs="Arial" w:ascii="Arial" w:hAnsi="Arial"/>
              </w:rPr>
            </w:r>
          </w:p>
        </w:tc>
      </w:tr>
      <w:tr>
        <w:trPr/>
        <w:tc>
          <w:tcPr>
            <w:tcW w:w="9736" w:type="dxa"/>
            <w:gridSpan w:val="3"/>
            <w:tcBorders/>
            <w:shd w:fill="auto" w:val="clear"/>
          </w:tcPr>
          <w:p>
            <w:pPr>
              <w:pStyle w:val="Normal"/>
              <w:spacing w:lineRule="auto" w:line="240" w:before="0" w:after="0"/>
              <w:rPr>
                <w:rFonts w:ascii="Arial" w:hAnsi="Arial" w:cs="Arial"/>
              </w:rPr>
            </w:pPr>
            <w:r>
              <w:rPr>
                <w:rFonts w:cs="Arial" w:ascii="Arial" w:hAnsi="Arial"/>
              </w:rPr>
              <w:t>Summary of DPO advice on compliance, step 6 measures and whether processing can proceed:</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i/>
                <w:i/>
              </w:rPr>
            </w:pPr>
            <w:r>
              <w:rPr>
                <w:rFonts w:cs="Arial" w:ascii="Arial" w:hAnsi="Arial"/>
                <w:i/>
              </w:rPr>
            </w:r>
          </w:p>
        </w:tc>
      </w:tr>
      <w:tr>
        <w:trPr/>
        <w:tc>
          <w:tcPr>
            <w:tcW w:w="9736" w:type="dxa"/>
            <w:gridSpan w:val="3"/>
            <w:tcBorders/>
            <w:shd w:fill="auto" w:val="clear"/>
          </w:tcPr>
          <w:p>
            <w:pPr>
              <w:pStyle w:val="Normal"/>
              <w:spacing w:lineRule="auto" w:line="240" w:before="0" w:after="0"/>
              <w:rPr>
                <w:rFonts w:ascii="Arial" w:hAnsi="Arial" w:cs="Arial"/>
                <w:b/>
                <w:b/>
              </w:rPr>
            </w:pPr>
            <w:r>
              <w:rPr>
                <w:rFonts w:cs="Arial" w:ascii="Arial" w:hAnsi="Arial"/>
                <w:b/>
              </w:rPr>
              <w:t>Consultees</w:t>
            </w:r>
          </w:p>
          <w:p>
            <w:pPr>
              <w:pStyle w:val="Normal"/>
              <w:spacing w:lineRule="auto" w:line="240" w:before="0" w:after="0"/>
              <w:rPr>
                <w:rFonts w:ascii="Arial" w:hAnsi="Arial" w:cs="Arial"/>
              </w:rPr>
            </w:pPr>
            <w:r>
              <w:rPr>
                <w:rFonts w:cs="Arial" w:ascii="Arial" w:hAnsi="Arial"/>
              </w:rPr>
            </w:r>
          </w:p>
        </w:tc>
      </w:tr>
      <w:tr>
        <w:trPr/>
        <w:tc>
          <w:tcPr>
            <w:tcW w:w="3245" w:type="dxa"/>
            <w:tcBorders/>
            <w:shd w:fill="auto" w:val="clear"/>
          </w:tcPr>
          <w:p>
            <w:pPr>
              <w:pStyle w:val="Normal"/>
              <w:spacing w:lineRule="auto" w:line="240" w:before="0" w:after="0"/>
              <w:rPr>
                <w:rFonts w:ascii="Arial" w:hAnsi="Arial" w:cs="Arial"/>
              </w:rPr>
            </w:pPr>
            <w:r>
              <w:rPr>
                <w:rFonts w:cs="Arial" w:ascii="Arial" w:hAnsi="Arial"/>
              </w:rPr>
              <w:t>Consultee:</w:t>
            </w:r>
          </w:p>
        </w:tc>
        <w:tc>
          <w:tcPr>
            <w:tcW w:w="3245" w:type="dxa"/>
            <w:tcBorders/>
            <w:shd w:fill="auto" w:val="clear"/>
          </w:tcPr>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3246" w:type="dxa"/>
            <w:tcBorders/>
            <w:shd w:fill="auto" w:val="clear"/>
          </w:tcPr>
          <w:p>
            <w:pPr>
              <w:pStyle w:val="Normal"/>
              <w:spacing w:lineRule="auto" w:line="240" w:before="0" w:after="0"/>
              <w:rPr>
                <w:rFonts w:ascii="Arial" w:hAnsi="Arial" w:cs="Arial"/>
              </w:rPr>
            </w:pPr>
            <w:r>
              <w:rPr>
                <w:rFonts w:cs="Arial" w:ascii="Arial" w:hAnsi="Arial"/>
              </w:rPr>
            </w:r>
          </w:p>
        </w:tc>
      </w:tr>
      <w:tr>
        <w:trPr/>
        <w:tc>
          <w:tcPr>
            <w:tcW w:w="9736" w:type="dxa"/>
            <w:gridSpan w:val="3"/>
            <w:tcBorders/>
            <w:shd w:fill="auto" w:val="clear"/>
          </w:tcPr>
          <w:p>
            <w:pPr>
              <w:pStyle w:val="Normal"/>
              <w:spacing w:lineRule="auto" w:line="240" w:before="0" w:after="0"/>
              <w:rPr>
                <w:rFonts w:ascii="Arial" w:hAnsi="Arial" w:cs="Arial"/>
              </w:rPr>
            </w:pPr>
            <w:r>
              <w:rPr>
                <w:rFonts w:cs="Arial" w:ascii="Arial" w:hAnsi="Arial"/>
              </w:rPr>
              <w:t>Comments (if your decision departs from individuals’ views, you must explain your reasons):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3245" w:type="dxa"/>
            <w:tcBorders/>
            <w:shd w:fill="auto" w:val="clear"/>
          </w:tcPr>
          <w:p>
            <w:pPr>
              <w:pStyle w:val="Normal"/>
              <w:spacing w:lineRule="auto" w:line="240" w:before="0" w:after="0"/>
              <w:rPr>
                <w:rFonts w:ascii="Arial" w:hAnsi="Arial" w:cs="Arial"/>
              </w:rPr>
            </w:pPr>
            <w:r>
              <w:rPr>
                <w:rFonts w:cs="Arial" w:ascii="Arial" w:hAnsi="Arial"/>
              </w:rPr>
              <w:t>This DPIA will be kept under review by:</w:t>
            </w:r>
          </w:p>
        </w:tc>
        <w:tc>
          <w:tcPr>
            <w:tcW w:w="6491" w:type="dxa"/>
            <w:gridSpan w:val="2"/>
            <w:tcBorders/>
            <w:shd w:fill="auto" w:val="clear"/>
          </w:tcPr>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r>
        <w:br w:type="page"/>
      </w:r>
    </w:p>
    <w:p>
      <w:pPr>
        <w:pStyle w:val="Normal"/>
        <w:rPr>
          <w:rFonts w:ascii="Arial" w:hAnsi="Arial" w:cs="Arial"/>
        </w:rPr>
      </w:pPr>
      <w:r>
        <w:rPr>
          <w:rFonts w:cs="Arial" w:ascii="Arial" w:hAnsi="Arial"/>
          <w:b/>
        </w:rPr>
        <w:t>Guidance and glossary</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t>Processing</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Processing means </w:t>
      </w:r>
      <w:r>
        <w:rPr>
          <w:rFonts w:cs="Arial" w:ascii="Arial" w:hAnsi="Arial"/>
          <w:i/>
          <w:iCs/>
        </w:rPr>
        <w:t>“Any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t>Personal data</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Personal data is defined as “</w:t>
      </w:r>
      <w:r>
        <w:rPr>
          <w:rFonts w:cs="Arial" w:ascii="Arial" w:hAnsi="Arial"/>
          <w:i/>
          <w:iCs/>
        </w:rPr>
        <w:t>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r>
        <w:rPr>
          <w:rFonts w:cs="Arial" w:ascii="Arial" w:hAnsi="Arial"/>
        </w:rPr>
        <w:t>.</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before="0" w:after="0"/>
        <w:rPr>
          <w:rFonts w:ascii="Arial" w:hAnsi="Arial" w:cs="Arial"/>
          <w:b/>
          <w:b/>
          <w:bCs/>
        </w:rPr>
      </w:pPr>
      <w:r>
        <w:rPr>
          <w:rFonts w:cs="Arial" w:ascii="Arial" w:hAnsi="Arial"/>
          <w:b/>
          <w:bCs/>
        </w:rPr>
        <w:t>Special category data</w:t>
      </w:r>
    </w:p>
    <w:p>
      <w:pPr>
        <w:pStyle w:val="Normal"/>
        <w:spacing w:before="0" w:after="0"/>
        <w:rPr>
          <w:rFonts w:ascii="Arial" w:hAnsi="Arial" w:cs="Arial"/>
          <w:bCs/>
        </w:rPr>
      </w:pPr>
      <w:r>
        <w:rPr>
          <w:rFonts w:cs="Arial" w:ascii="Arial" w:hAnsi="Arial"/>
          <w:bCs/>
        </w:rPr>
      </w:r>
    </w:p>
    <w:p>
      <w:pPr>
        <w:pStyle w:val="Normal"/>
        <w:spacing w:before="0" w:after="0"/>
        <w:rPr/>
      </w:pPr>
      <w:r>
        <w:rPr>
          <w:rFonts w:cs="Arial" w:ascii="Arial" w:hAnsi="Arial"/>
        </w:rPr>
        <w:t xml:space="preserve">Special category data is personal data that is more sensitive and needs more protection. In order to lawfully process special category data, the Organisation must have a lawful basis as well as an additional condition for processing. </w:t>
      </w:r>
    </w:p>
    <w:p>
      <w:pPr>
        <w:pStyle w:val="Normal"/>
        <w:spacing w:before="0" w:after="0"/>
        <w:rPr>
          <w:rFonts w:ascii="Arial" w:hAnsi="Arial" w:cs="Arial"/>
        </w:rPr>
      </w:pPr>
      <w:r>
        <w:rPr>
          <w:rFonts w:cs="Arial" w:ascii="Arial" w:hAnsi="Arial"/>
        </w:rPr>
      </w:r>
    </w:p>
    <w:p>
      <w:pPr>
        <w:pStyle w:val="Normal"/>
        <w:spacing w:before="0" w:after="0"/>
        <w:rPr>
          <w:rFonts w:ascii="Arial" w:hAnsi="Arial" w:cs="Arial"/>
        </w:rPr>
      </w:pPr>
      <w:r>
        <w:rPr>
          <w:rFonts w:cs="Arial" w:ascii="Arial" w:hAnsi="Arial"/>
        </w:rPr>
        <w:t>Special category data relates to:</w:t>
      </w:r>
    </w:p>
    <w:p>
      <w:pPr>
        <w:pStyle w:val="Normal"/>
        <w:spacing w:before="0" w:after="0"/>
        <w:rPr>
          <w:rFonts w:ascii="Arial" w:hAnsi="Arial" w:cs="Arial"/>
        </w:rPr>
      </w:pPr>
      <w:r>
        <w:rPr>
          <w:rFonts w:cs="Arial" w:ascii="Arial" w:hAnsi="Arial"/>
        </w:rPr>
      </w:r>
    </w:p>
    <w:p>
      <w:pPr>
        <w:pStyle w:val="ListParagraph"/>
        <w:numPr>
          <w:ilvl w:val="0"/>
          <w:numId w:val="3"/>
        </w:numPr>
        <w:spacing w:lineRule="auto" w:line="240" w:before="0" w:after="0"/>
        <w:contextualSpacing/>
        <w:rPr>
          <w:rFonts w:ascii="Arial" w:hAnsi="Arial" w:cs="Arial"/>
        </w:rPr>
      </w:pPr>
      <w:r>
        <w:rPr>
          <w:rFonts w:cs="Arial" w:ascii="Arial" w:hAnsi="Arial"/>
        </w:rPr>
        <w:t>Racial or ethnic origin,</w:t>
      </w:r>
    </w:p>
    <w:p>
      <w:pPr>
        <w:pStyle w:val="ListParagraph"/>
        <w:numPr>
          <w:ilvl w:val="0"/>
          <w:numId w:val="3"/>
        </w:numPr>
        <w:spacing w:lineRule="auto" w:line="240" w:before="0" w:after="0"/>
        <w:contextualSpacing/>
        <w:rPr>
          <w:rFonts w:ascii="Arial" w:hAnsi="Arial" w:cs="Arial"/>
        </w:rPr>
      </w:pPr>
      <w:r>
        <w:rPr>
          <w:rFonts w:cs="Arial" w:ascii="Arial" w:hAnsi="Arial"/>
        </w:rPr>
        <w:t xml:space="preserve">Political opinions, </w:t>
      </w:r>
    </w:p>
    <w:p>
      <w:pPr>
        <w:pStyle w:val="ListParagraph"/>
        <w:numPr>
          <w:ilvl w:val="0"/>
          <w:numId w:val="3"/>
        </w:numPr>
        <w:spacing w:lineRule="auto" w:line="240" w:before="0" w:after="0"/>
        <w:contextualSpacing/>
        <w:rPr>
          <w:rFonts w:ascii="Arial" w:hAnsi="Arial" w:cs="Arial"/>
        </w:rPr>
      </w:pPr>
      <w:r>
        <w:rPr>
          <w:rFonts w:cs="Arial" w:ascii="Arial" w:hAnsi="Arial"/>
        </w:rPr>
        <w:t>Religious or philosophical beliefs,</w:t>
      </w:r>
    </w:p>
    <w:p>
      <w:pPr>
        <w:pStyle w:val="ListParagraph"/>
        <w:numPr>
          <w:ilvl w:val="0"/>
          <w:numId w:val="3"/>
        </w:numPr>
        <w:spacing w:lineRule="auto" w:line="240" w:before="0" w:after="0"/>
        <w:contextualSpacing/>
        <w:rPr>
          <w:rFonts w:ascii="Arial" w:hAnsi="Arial" w:cs="Arial"/>
        </w:rPr>
      </w:pPr>
      <w:r>
        <w:rPr>
          <w:rFonts w:cs="Arial" w:ascii="Arial" w:hAnsi="Arial"/>
        </w:rPr>
        <w:t>Trade Union membership,</w:t>
      </w:r>
    </w:p>
    <w:p>
      <w:pPr>
        <w:pStyle w:val="ListParagraph"/>
        <w:numPr>
          <w:ilvl w:val="0"/>
          <w:numId w:val="3"/>
        </w:numPr>
        <w:spacing w:lineRule="auto" w:line="240" w:before="0" w:after="0"/>
        <w:contextualSpacing/>
        <w:rPr>
          <w:rFonts w:ascii="Arial" w:hAnsi="Arial" w:cs="Arial"/>
        </w:rPr>
      </w:pPr>
      <w:r>
        <w:rPr>
          <w:rFonts w:cs="Arial" w:ascii="Arial" w:hAnsi="Arial"/>
        </w:rPr>
        <w:t>Genetic data</w:t>
      </w:r>
    </w:p>
    <w:p>
      <w:pPr>
        <w:pStyle w:val="ListParagraph"/>
        <w:numPr>
          <w:ilvl w:val="0"/>
          <w:numId w:val="3"/>
        </w:numPr>
        <w:spacing w:lineRule="auto" w:line="240" w:before="0" w:after="0"/>
        <w:contextualSpacing/>
        <w:rPr>
          <w:rFonts w:ascii="Arial" w:hAnsi="Arial" w:cs="Arial"/>
        </w:rPr>
      </w:pPr>
      <w:r>
        <w:rPr>
          <w:rFonts w:cs="Arial" w:ascii="Arial" w:hAnsi="Arial"/>
        </w:rPr>
        <w:t>Biometric data (where used for ID purposes)</w:t>
      </w:r>
    </w:p>
    <w:p>
      <w:pPr>
        <w:pStyle w:val="ListParagraph"/>
        <w:numPr>
          <w:ilvl w:val="0"/>
          <w:numId w:val="3"/>
        </w:numPr>
        <w:spacing w:lineRule="auto" w:line="240" w:before="0" w:after="0"/>
        <w:contextualSpacing/>
        <w:rPr>
          <w:rFonts w:ascii="Arial" w:hAnsi="Arial" w:cs="Arial"/>
        </w:rPr>
      </w:pPr>
      <w:r>
        <w:rPr>
          <w:rFonts w:cs="Arial" w:ascii="Arial" w:hAnsi="Arial"/>
        </w:rPr>
        <w:t>Physical and mental health, and</w:t>
      </w:r>
    </w:p>
    <w:p>
      <w:pPr>
        <w:pStyle w:val="ListParagraph"/>
        <w:numPr>
          <w:ilvl w:val="0"/>
          <w:numId w:val="3"/>
        </w:numPr>
        <w:spacing w:lineRule="auto" w:line="240" w:before="0" w:after="0"/>
        <w:contextualSpacing/>
        <w:rPr>
          <w:rFonts w:ascii="Arial" w:hAnsi="Arial" w:cs="Arial"/>
        </w:rPr>
      </w:pPr>
      <w:r>
        <w:rPr>
          <w:rFonts w:cs="Arial" w:ascii="Arial" w:hAnsi="Arial"/>
        </w:rPr>
        <w:t xml:space="preserve">Sex life or sexual orientation.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t>Data Protection Principles</w:t>
      </w:r>
    </w:p>
    <w:p>
      <w:pPr>
        <w:pStyle w:val="Normal"/>
        <w:spacing w:lineRule="auto" w:line="240" w:before="0" w:after="0"/>
        <w:rPr>
          <w:rFonts w:ascii="Arial" w:hAnsi="Arial" w:cs="Arial"/>
        </w:rPr>
      </w:pPr>
      <w:r>
        <w:rPr>
          <w:rFonts w:cs="Arial" w:ascii="Arial" w:hAnsi="Arial"/>
        </w:rPr>
      </w:r>
    </w:p>
    <w:p>
      <w:pPr>
        <w:pStyle w:val="ListParagraph"/>
        <w:ind w:left="0" w:hanging="0"/>
        <w:rPr>
          <w:rFonts w:ascii="Arial" w:hAnsi="Arial" w:cs="Arial"/>
        </w:rPr>
      </w:pPr>
      <w:r>
        <w:rPr>
          <w:rFonts w:cs="Arial" w:ascii="Arial" w:hAnsi="Arial"/>
        </w:rPr>
        <w:t>Personal data shall be:</w:t>
      </w:r>
    </w:p>
    <w:p>
      <w:pPr>
        <w:pStyle w:val="ListParagraph"/>
        <w:ind w:left="0" w:hanging="0"/>
        <w:rPr>
          <w:rFonts w:ascii="Arial" w:hAnsi="Arial" w:cs="Arial"/>
        </w:rPr>
      </w:pPr>
      <w:r>
        <w:rPr>
          <w:rFonts w:cs="Arial" w:ascii="Arial" w:hAnsi="Arial"/>
        </w:rPr>
      </w:r>
    </w:p>
    <w:p>
      <w:pPr>
        <w:pStyle w:val="ListParagraph"/>
        <w:numPr>
          <w:ilvl w:val="0"/>
          <w:numId w:val="4"/>
        </w:numPr>
        <w:spacing w:lineRule="auto" w:line="240" w:before="0" w:after="0"/>
        <w:ind w:left="567" w:hanging="567"/>
        <w:contextualSpacing/>
        <w:rPr>
          <w:rFonts w:ascii="Arial" w:hAnsi="Arial" w:cs="Arial"/>
        </w:rPr>
      </w:pPr>
      <w:r>
        <w:rPr>
          <w:rFonts w:cs="Arial" w:ascii="Arial" w:hAnsi="Arial"/>
        </w:rPr>
        <w:t>processed lawfully, fairly and in a transparent manner (‘lawfulness, fairness and transparency’);</w:t>
      </w:r>
    </w:p>
    <w:p>
      <w:pPr>
        <w:pStyle w:val="ListParagraph"/>
        <w:spacing w:lineRule="auto" w:line="240" w:before="0" w:after="0"/>
        <w:ind w:left="567" w:hanging="0"/>
        <w:contextualSpacing/>
        <w:rPr>
          <w:rFonts w:ascii="Arial" w:hAnsi="Arial" w:cs="Arial"/>
        </w:rPr>
      </w:pPr>
      <w:r>
        <w:rPr>
          <w:rFonts w:cs="Arial" w:ascii="Arial" w:hAnsi="Arial"/>
        </w:rPr>
      </w:r>
    </w:p>
    <w:p>
      <w:pPr>
        <w:pStyle w:val="ListParagraph"/>
        <w:numPr>
          <w:ilvl w:val="0"/>
          <w:numId w:val="4"/>
        </w:numPr>
        <w:spacing w:lineRule="auto" w:line="240" w:before="0" w:after="0"/>
        <w:ind w:left="567" w:hanging="567"/>
        <w:contextualSpacing/>
        <w:rPr>
          <w:rFonts w:ascii="Arial" w:hAnsi="Arial" w:cs="Arial"/>
        </w:rPr>
      </w:pPr>
      <w:r>
        <w:rPr>
          <w:rFonts w:cs="Arial" w:ascii="Arial" w:hAnsi="Arial"/>
        </w:rPr>
        <w:t>collected for specified, explicit and legitimate purposes and not further processed in a manner that is incompatible with those purposes (‘purpose limitation’);</w:t>
      </w:r>
    </w:p>
    <w:p>
      <w:pPr>
        <w:pStyle w:val="Normal"/>
        <w:spacing w:before="0" w:after="0"/>
        <w:ind w:left="567" w:hanging="567"/>
        <w:rPr>
          <w:rFonts w:ascii="Arial" w:hAnsi="Arial" w:cs="Arial"/>
        </w:rPr>
      </w:pPr>
      <w:r>
        <w:rPr>
          <w:rFonts w:cs="Arial" w:ascii="Arial" w:hAnsi="Arial"/>
        </w:rPr>
      </w:r>
    </w:p>
    <w:p>
      <w:pPr>
        <w:pStyle w:val="ListParagraph"/>
        <w:numPr>
          <w:ilvl w:val="0"/>
          <w:numId w:val="4"/>
        </w:numPr>
        <w:spacing w:lineRule="auto" w:line="240" w:before="0" w:after="0"/>
        <w:ind w:left="567" w:hanging="567"/>
        <w:contextualSpacing/>
        <w:rPr>
          <w:rFonts w:ascii="Arial" w:hAnsi="Arial" w:cs="Arial"/>
        </w:rPr>
      </w:pPr>
      <w:r>
        <w:rPr>
          <w:rFonts w:cs="Arial" w:ascii="Arial" w:hAnsi="Arial"/>
        </w:rPr>
        <w:t>adequate, relevant and limited to what is necessary in relation to the purposes for which they are processed (‘data minimisation’);</w:t>
      </w:r>
    </w:p>
    <w:p>
      <w:pPr>
        <w:pStyle w:val="Normal"/>
        <w:spacing w:before="0" w:after="0"/>
        <w:ind w:left="567" w:hanging="567"/>
        <w:rPr>
          <w:rFonts w:ascii="Arial" w:hAnsi="Arial" w:cs="Arial"/>
        </w:rPr>
      </w:pPr>
      <w:r>
        <w:rPr>
          <w:rFonts w:cs="Arial" w:ascii="Arial" w:hAnsi="Arial"/>
        </w:rPr>
      </w:r>
    </w:p>
    <w:p>
      <w:pPr>
        <w:pStyle w:val="ListParagraph"/>
        <w:numPr>
          <w:ilvl w:val="0"/>
          <w:numId w:val="4"/>
        </w:numPr>
        <w:spacing w:lineRule="auto" w:line="240" w:before="0" w:after="0"/>
        <w:ind w:left="567" w:hanging="567"/>
        <w:contextualSpacing/>
        <w:rPr>
          <w:rFonts w:ascii="Arial" w:hAnsi="Arial" w:cs="Arial"/>
        </w:rPr>
      </w:pPr>
      <w:r>
        <w:rPr>
          <w:rFonts w:cs="Arial" w:ascii="Arial" w:hAnsi="Arial"/>
        </w:rPr>
        <w:t>accurate and, where necessary, kept up to date; every reasonable step must be taken to ensure that personal data that are inaccurate, having regard to the purposes for which they are processed, are erased or rectified without delay (‘accuracy’);</w:t>
      </w:r>
    </w:p>
    <w:p>
      <w:pPr>
        <w:pStyle w:val="Normal"/>
        <w:spacing w:before="0" w:after="0"/>
        <w:ind w:left="567" w:hanging="567"/>
        <w:rPr>
          <w:rFonts w:ascii="Arial" w:hAnsi="Arial" w:cs="Arial"/>
        </w:rPr>
      </w:pPr>
      <w:r>
        <w:rPr>
          <w:rFonts w:cs="Arial" w:ascii="Arial" w:hAnsi="Arial"/>
        </w:rPr>
      </w:r>
    </w:p>
    <w:p>
      <w:pPr>
        <w:pStyle w:val="ListParagraph"/>
        <w:numPr>
          <w:ilvl w:val="0"/>
          <w:numId w:val="4"/>
        </w:numPr>
        <w:spacing w:lineRule="auto" w:line="240" w:before="0" w:after="0"/>
        <w:ind w:left="567" w:hanging="567"/>
        <w:contextualSpacing/>
        <w:rPr>
          <w:rFonts w:ascii="Arial" w:hAnsi="Arial" w:cs="Arial"/>
        </w:rPr>
      </w:pPr>
      <w:r>
        <w:rPr>
          <w:rFonts w:cs="Arial" w:ascii="Arial" w:hAnsi="Arial"/>
        </w:rPr>
        <w:t>kept in a form which permits identification of data subjects for no longer than is necessary for the purposes for which the personal data are processed (‘storage limitation’); and</w:t>
      </w:r>
    </w:p>
    <w:p>
      <w:pPr>
        <w:pStyle w:val="Normal"/>
        <w:spacing w:before="0" w:after="0"/>
        <w:ind w:left="567" w:hanging="567"/>
        <w:rPr>
          <w:rFonts w:ascii="Arial" w:hAnsi="Arial" w:cs="Arial"/>
        </w:rPr>
      </w:pPr>
      <w:r>
        <w:rPr>
          <w:rFonts w:cs="Arial" w:ascii="Arial" w:hAnsi="Arial"/>
        </w:rPr>
      </w:r>
    </w:p>
    <w:p>
      <w:pPr>
        <w:pStyle w:val="ListParagraph"/>
        <w:numPr>
          <w:ilvl w:val="0"/>
          <w:numId w:val="4"/>
        </w:numPr>
        <w:spacing w:lineRule="auto" w:line="240" w:before="0" w:after="0"/>
        <w:ind w:left="567" w:hanging="567"/>
        <w:contextualSpacing/>
        <w:rPr>
          <w:rFonts w:ascii="Arial" w:hAnsi="Arial" w:cs="Arial"/>
        </w:rPr>
      </w:pPr>
      <w:r>
        <w:rPr>
          <w:rFonts w:cs="Arial" w:ascii="Arial" w:hAnsi="Arial"/>
        </w:rPr>
        <w:t>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Default1"/>
        <w:rPr>
          <w:rFonts w:ascii="Arial" w:hAnsi="Arial" w:cs="Arial"/>
          <w:b/>
          <w:b/>
          <w:sz w:val="22"/>
          <w:szCs w:val="22"/>
        </w:rPr>
      </w:pPr>
      <w:r>
        <w:rPr>
          <w:rFonts w:cs="Arial" w:ascii="Arial" w:hAnsi="Arial"/>
          <w:b/>
          <w:sz w:val="22"/>
          <w:szCs w:val="22"/>
        </w:rPr>
        <w:t>What are the lawful bases for processing of personal data?</w:t>
      </w:r>
    </w:p>
    <w:p>
      <w:pPr>
        <w:pStyle w:val="Default1"/>
        <w:rPr>
          <w:rFonts w:ascii="Arial" w:hAnsi="Arial" w:cs="Arial"/>
          <w:sz w:val="22"/>
          <w:szCs w:val="22"/>
        </w:rPr>
      </w:pPr>
      <w:r>
        <w:rPr>
          <w:rFonts w:cs="Arial" w:ascii="Arial" w:hAnsi="Arial"/>
          <w:sz w:val="22"/>
          <w:szCs w:val="22"/>
        </w:rPr>
      </w:r>
    </w:p>
    <w:p>
      <w:pPr>
        <w:pStyle w:val="Default1"/>
        <w:rPr/>
      </w:pPr>
      <w:r>
        <w:rPr>
          <w:rFonts w:cs="Arial" w:ascii="Arial" w:hAnsi="Arial"/>
          <w:sz w:val="22"/>
          <w:szCs w:val="22"/>
        </w:rPr>
        <w:t xml:space="preserve">Under the General Data Protection Regulation, the Organisation must have a valid lawful basis in order to process personal data and, in most cases, will also need to be satisfied that it is ‘necessary’ to process personal data to achieve the purpose. </w:t>
      </w:r>
    </w:p>
    <w:p>
      <w:pPr>
        <w:pStyle w:val="Default1"/>
        <w:rPr>
          <w:rFonts w:ascii="Arial" w:hAnsi="Arial" w:cs="Arial"/>
          <w:sz w:val="22"/>
          <w:szCs w:val="22"/>
        </w:rPr>
      </w:pPr>
      <w:r>
        <w:rPr>
          <w:rFonts w:cs="Arial" w:ascii="Arial" w:hAnsi="Arial"/>
          <w:sz w:val="22"/>
          <w:szCs w:val="22"/>
        </w:rPr>
      </w:r>
    </w:p>
    <w:p>
      <w:pPr>
        <w:pStyle w:val="Default1"/>
        <w:rPr>
          <w:rFonts w:ascii="Arial" w:hAnsi="Arial" w:cs="Arial"/>
          <w:sz w:val="22"/>
          <w:szCs w:val="22"/>
        </w:rPr>
      </w:pPr>
      <w:r>
        <w:rPr>
          <w:rFonts w:cs="Arial" w:ascii="Arial" w:hAnsi="Arial"/>
          <w:sz w:val="22"/>
          <w:szCs w:val="22"/>
        </w:rPr>
        <w:t>There are six lawful bases for processing:</w:t>
      </w:r>
    </w:p>
    <w:p>
      <w:pPr>
        <w:pStyle w:val="Default1"/>
        <w:rPr>
          <w:rFonts w:ascii="Arial" w:hAnsi="Arial" w:cs="Arial"/>
          <w:sz w:val="22"/>
          <w:szCs w:val="22"/>
        </w:rPr>
      </w:pPr>
      <w:r>
        <w:rPr>
          <w:rFonts w:cs="Arial" w:ascii="Arial" w:hAnsi="Arial"/>
          <w:sz w:val="22"/>
          <w:szCs w:val="22"/>
        </w:rPr>
      </w:r>
    </w:p>
    <w:p>
      <w:pPr>
        <w:pStyle w:val="Default1"/>
        <w:numPr>
          <w:ilvl w:val="1"/>
          <w:numId w:val="2"/>
        </w:numPr>
        <w:ind w:left="567" w:hanging="567"/>
        <w:rPr/>
      </w:pPr>
      <w:r>
        <w:rPr>
          <w:rFonts w:cs="Arial" w:ascii="Arial" w:hAnsi="Arial"/>
          <w:b/>
          <w:sz w:val="22"/>
          <w:szCs w:val="22"/>
        </w:rPr>
        <w:t>Public task</w:t>
      </w:r>
      <w:r>
        <w:rPr>
          <w:rFonts w:cs="Arial" w:ascii="Arial" w:hAnsi="Arial"/>
          <w:sz w:val="22"/>
          <w:szCs w:val="22"/>
        </w:rPr>
        <w:t xml:space="preserve"> – this means that the processing is necessary for the Organisation to perform a task in the public interest or as part of its official functions. </w:t>
      </w:r>
    </w:p>
    <w:p>
      <w:pPr>
        <w:pStyle w:val="Default1"/>
        <w:ind w:left="567" w:hanging="0"/>
        <w:rPr>
          <w:rFonts w:ascii="Arial" w:hAnsi="Arial" w:cs="Arial"/>
          <w:sz w:val="22"/>
          <w:szCs w:val="22"/>
        </w:rPr>
      </w:pPr>
      <w:r>
        <w:rPr>
          <w:rFonts w:cs="Arial" w:ascii="Arial" w:hAnsi="Arial"/>
          <w:sz w:val="22"/>
          <w:szCs w:val="22"/>
        </w:rPr>
      </w:r>
    </w:p>
    <w:p>
      <w:pPr>
        <w:pStyle w:val="Default1"/>
        <w:numPr>
          <w:ilvl w:val="1"/>
          <w:numId w:val="2"/>
        </w:numPr>
        <w:ind w:left="567" w:hanging="567"/>
        <w:rPr/>
      </w:pPr>
      <w:r>
        <w:rPr>
          <w:rStyle w:val="Strong"/>
          <w:rFonts w:cs="Arial" w:ascii="Arial" w:hAnsi="Arial"/>
          <w:sz w:val="22"/>
          <w:szCs w:val="22"/>
          <w:lang w:val="en"/>
        </w:rPr>
        <w:t xml:space="preserve">Legitimate interests - </w:t>
      </w:r>
      <w:r>
        <w:rPr>
          <w:rFonts w:cs="Arial" w:ascii="Arial" w:hAnsi="Arial"/>
          <w:sz w:val="22"/>
          <w:szCs w:val="22"/>
          <w:lang w:val="en"/>
        </w:rPr>
        <w:t>the processing is necessary for the legitimate interests of the Organisation or a third party, unless there is a good reason to protect the individual’s personal data which overrides those legitimate interests.</w:t>
      </w:r>
    </w:p>
    <w:p>
      <w:pPr>
        <w:pStyle w:val="Default1"/>
        <w:rPr>
          <w:rFonts w:ascii="Arial" w:hAnsi="Arial" w:cs="Arial"/>
          <w:sz w:val="22"/>
          <w:szCs w:val="22"/>
        </w:rPr>
      </w:pPr>
      <w:r>
        <w:rPr>
          <w:rFonts w:cs="Arial" w:ascii="Arial" w:hAnsi="Arial"/>
          <w:sz w:val="22"/>
          <w:szCs w:val="22"/>
        </w:rPr>
      </w:r>
    </w:p>
    <w:p>
      <w:pPr>
        <w:pStyle w:val="Default1"/>
        <w:rPr>
          <w:rFonts w:ascii="Arial" w:hAnsi="Arial" w:cs="Arial"/>
          <w:sz w:val="22"/>
          <w:szCs w:val="22"/>
        </w:rPr>
      </w:pPr>
      <w:r>
        <w:rPr>
          <w:rFonts w:cs="Arial" w:ascii="Arial" w:hAnsi="Arial"/>
          <w:sz w:val="22"/>
          <w:szCs w:val="22"/>
        </w:rPr>
        <w:t xml:space="preserve">The purpose of the Organisation, set out in its Royal Charter, is to advance learning and knowledge by teaching and research to the benefit of the wider community. So, in most cases, the Organisation will rely on ‘public task’ and ‘legitimate interests’ as the lawful basis for processing. </w:t>
      </w:r>
    </w:p>
    <w:p>
      <w:pPr>
        <w:pStyle w:val="Default1"/>
        <w:ind w:left="567" w:hanging="0"/>
        <w:rPr>
          <w:rFonts w:ascii="Arial" w:hAnsi="Arial" w:cs="Arial"/>
          <w:sz w:val="22"/>
          <w:szCs w:val="22"/>
        </w:rPr>
      </w:pPr>
      <w:r>
        <w:rPr>
          <w:rFonts w:cs="Arial" w:ascii="Arial" w:hAnsi="Arial"/>
          <w:sz w:val="22"/>
          <w:szCs w:val="22"/>
        </w:rPr>
      </w:r>
    </w:p>
    <w:p>
      <w:pPr>
        <w:pStyle w:val="Default1"/>
        <w:numPr>
          <w:ilvl w:val="1"/>
          <w:numId w:val="2"/>
        </w:numPr>
        <w:ind w:left="567" w:hanging="567"/>
        <w:rPr>
          <w:rFonts w:ascii="Arial" w:hAnsi="Arial" w:cs="Arial"/>
          <w:sz w:val="22"/>
          <w:szCs w:val="22"/>
        </w:rPr>
      </w:pPr>
      <w:r>
        <w:rPr>
          <w:rFonts w:cs="Arial" w:ascii="Arial" w:hAnsi="Arial"/>
          <w:b/>
          <w:sz w:val="22"/>
          <w:szCs w:val="22"/>
        </w:rPr>
        <w:t>Contract</w:t>
      </w:r>
      <w:r>
        <w:rPr>
          <w:rFonts w:cs="Arial" w:ascii="Arial" w:hAnsi="Arial"/>
          <w:sz w:val="22"/>
          <w:szCs w:val="22"/>
        </w:rPr>
        <w:t xml:space="preserve"> – the processing is necessary for a contract the Organisation has with the individual, or because they have asked the Organisation to take specific steps before entering into a contract. When relying on a contract as the legal basis, any processing of personal data must be targeted and proportionate. </w:t>
      </w:r>
    </w:p>
    <w:p>
      <w:pPr>
        <w:pStyle w:val="Default1"/>
        <w:ind w:left="567" w:hanging="0"/>
        <w:rPr>
          <w:rFonts w:ascii="Arial" w:hAnsi="Arial" w:cs="Arial"/>
          <w:sz w:val="22"/>
          <w:szCs w:val="22"/>
        </w:rPr>
      </w:pPr>
      <w:r>
        <w:rPr>
          <w:rFonts w:cs="Arial" w:ascii="Arial" w:hAnsi="Arial"/>
          <w:sz w:val="22"/>
          <w:szCs w:val="22"/>
        </w:rPr>
      </w:r>
    </w:p>
    <w:p>
      <w:pPr>
        <w:pStyle w:val="Default1"/>
        <w:numPr>
          <w:ilvl w:val="1"/>
          <w:numId w:val="2"/>
        </w:numPr>
        <w:ind w:left="567" w:hanging="567"/>
        <w:rPr>
          <w:rFonts w:ascii="Arial" w:hAnsi="Arial" w:cs="Arial"/>
          <w:sz w:val="22"/>
          <w:szCs w:val="22"/>
        </w:rPr>
      </w:pPr>
      <w:r>
        <w:rPr>
          <w:rFonts w:cs="Arial" w:ascii="Arial" w:hAnsi="Arial"/>
          <w:b/>
          <w:sz w:val="22"/>
          <w:szCs w:val="22"/>
        </w:rPr>
        <w:t>Legal obligation</w:t>
      </w:r>
      <w:r>
        <w:rPr>
          <w:rFonts w:cs="Arial" w:ascii="Arial" w:hAnsi="Arial"/>
          <w:sz w:val="22"/>
          <w:szCs w:val="22"/>
        </w:rPr>
        <w:t xml:space="preserve"> – the processing is necessary for the Organisation to comply with the law (not including contractual obligations). This can relate to legal, regulatory and other compliance obligations, as well as matters such as the prevention or detection of crime. </w:t>
      </w:r>
    </w:p>
    <w:p>
      <w:pPr>
        <w:pStyle w:val="ListParagraph"/>
        <w:spacing w:before="0" w:after="0"/>
        <w:contextualSpacing/>
        <w:rPr>
          <w:rFonts w:ascii="Arial" w:hAnsi="Arial" w:cs="Arial"/>
          <w:b/>
          <w:b/>
        </w:rPr>
      </w:pPr>
      <w:r>
        <w:rPr>
          <w:rFonts w:cs="Arial" w:ascii="Arial" w:hAnsi="Arial"/>
          <w:b/>
        </w:rPr>
      </w:r>
    </w:p>
    <w:p>
      <w:pPr>
        <w:pStyle w:val="Default1"/>
        <w:numPr>
          <w:ilvl w:val="1"/>
          <w:numId w:val="2"/>
        </w:numPr>
        <w:ind w:left="567" w:hanging="567"/>
        <w:rPr>
          <w:rFonts w:ascii="Arial" w:hAnsi="Arial" w:cs="Arial"/>
          <w:sz w:val="22"/>
          <w:szCs w:val="22"/>
        </w:rPr>
      </w:pPr>
      <w:r>
        <w:rPr>
          <w:rFonts w:cs="Arial" w:ascii="Arial" w:hAnsi="Arial"/>
          <w:b/>
          <w:sz w:val="22"/>
          <w:szCs w:val="22"/>
        </w:rPr>
        <w:t>Vital interests</w:t>
      </w:r>
      <w:r>
        <w:rPr>
          <w:rFonts w:cs="Arial" w:ascii="Arial" w:hAnsi="Arial"/>
          <w:sz w:val="22"/>
          <w:szCs w:val="22"/>
        </w:rPr>
        <w:t xml:space="preserve"> – the processing is necessary to protect the vital interest of someone, in other words, to protect someone’s life. </w:t>
      </w:r>
    </w:p>
    <w:p>
      <w:pPr>
        <w:pStyle w:val="ListParagraph"/>
        <w:spacing w:before="0" w:after="0"/>
        <w:contextualSpacing/>
        <w:rPr>
          <w:rFonts w:ascii="Arial" w:hAnsi="Arial" w:cs="Arial"/>
        </w:rPr>
      </w:pPr>
      <w:r>
        <w:rPr>
          <w:rFonts w:cs="Arial" w:ascii="Arial" w:hAnsi="Arial"/>
        </w:rPr>
      </w:r>
    </w:p>
    <w:p>
      <w:pPr>
        <w:pStyle w:val="Default1"/>
        <w:numPr>
          <w:ilvl w:val="1"/>
          <w:numId w:val="2"/>
        </w:numPr>
        <w:ind w:left="567" w:hanging="567"/>
        <w:rPr>
          <w:rFonts w:ascii="Arial" w:hAnsi="Arial" w:cs="Arial"/>
          <w:sz w:val="22"/>
          <w:szCs w:val="22"/>
        </w:rPr>
      </w:pPr>
      <w:r>
        <w:rPr>
          <w:rFonts w:cs="Arial" w:ascii="Arial" w:hAnsi="Arial"/>
          <w:b/>
          <w:sz w:val="22"/>
          <w:szCs w:val="22"/>
        </w:rPr>
        <w:t>Consent</w:t>
      </w:r>
      <w:r>
        <w:rPr>
          <w:rFonts w:cs="Arial" w:ascii="Arial" w:hAnsi="Arial"/>
          <w:sz w:val="22"/>
          <w:szCs w:val="22"/>
        </w:rPr>
        <w:t xml:space="preserve"> – the individual has given clear consent for the Organisation to process their personal data for a specific purpose.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before="0" w:after="0"/>
        <w:rPr/>
      </w:pPr>
      <w:r>
        <w:rPr/>
      </w:r>
    </w:p>
    <w:sectPr>
      <w:footerReference w:type="default" r:id="rId2"/>
      <w:type w:val="nextPage"/>
      <w:pgSz w:w="11906" w:h="16838"/>
      <w:pgMar w:left="1080" w:right="1080" w:header="0" w:top="1440" w:footer="113" w:bottom="1440"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Franklin Gothic Medium">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pBdr>
        <w:top w:val="single" w:sz="4" w:space="1" w:color="000000"/>
      </w:pBdr>
      <w:rPr>
        <w:sz w:val="20"/>
      </w:rPr>
    </w:pPr>
    <w:r>
      <w:rPr>
        <w:sz w:val="20"/>
      </w:rPr>
      <w:tab/>
      <w:tab/>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2"/>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Symbol" w:hAnsi="Symbol" w:cs="Symbol" w:hint="default"/>
        <w:sz w:val="20"/>
        <w:rFonts w:cs="Symbol"/>
      </w:rPr>
    </w:lvl>
    <w:lvl w:ilvl="3">
      <w:start w:val="1"/>
      <w:numFmt w:val="bullet"/>
      <w:lvlText w:val=""/>
      <w:lvlJc w:val="left"/>
      <w:pPr>
        <w:tabs>
          <w:tab w:val="num" w:pos="2880"/>
        </w:tabs>
        <w:ind w:left="2880" w:hanging="360"/>
      </w:pPr>
      <w:rPr>
        <w:rFonts w:ascii="Symbol" w:hAnsi="Symbol" w:cs="Symbol" w:hint="default"/>
        <w:sz w:val="20"/>
        <w:rFonts w:cs="Symbol"/>
      </w:rPr>
    </w:lvl>
    <w:lvl w:ilvl="4">
      <w:start w:val="1"/>
      <w:numFmt w:val="bullet"/>
      <w:lvlText w:val=""/>
      <w:lvlJc w:val="left"/>
      <w:pPr>
        <w:tabs>
          <w:tab w:val="num" w:pos="3600"/>
        </w:tabs>
        <w:ind w:left="3600" w:hanging="360"/>
      </w:pPr>
      <w:rPr>
        <w:rFonts w:ascii="Symbol" w:hAnsi="Symbol" w:cs="Symbol" w:hint="default"/>
        <w:sz w:val="20"/>
        <w:rFonts w:cs="Symbol"/>
      </w:rPr>
    </w:lvl>
    <w:lvl w:ilvl="5">
      <w:start w:val="1"/>
      <w:numFmt w:val="bullet"/>
      <w:lvlText w:val=""/>
      <w:lvlJc w:val="left"/>
      <w:pPr>
        <w:tabs>
          <w:tab w:val="num" w:pos="4320"/>
        </w:tabs>
        <w:ind w:left="4320" w:hanging="360"/>
      </w:pPr>
      <w:rPr>
        <w:rFonts w:ascii="Symbol" w:hAnsi="Symbol" w:cs="Symbol" w:hint="default"/>
        <w:sz w:val="20"/>
        <w:rFonts w:cs="Symbol"/>
      </w:rPr>
    </w:lvl>
    <w:lvl w:ilvl="6">
      <w:start w:val="1"/>
      <w:numFmt w:val="bullet"/>
      <w:lvlText w:val=""/>
      <w:lvlJc w:val="left"/>
      <w:pPr>
        <w:tabs>
          <w:tab w:val="num" w:pos="5040"/>
        </w:tabs>
        <w:ind w:left="5040" w:hanging="360"/>
      </w:pPr>
      <w:rPr>
        <w:rFonts w:ascii="Symbol" w:hAnsi="Symbol" w:cs="Symbol" w:hint="default"/>
        <w:sz w:val="20"/>
        <w:rFonts w:cs="Symbol"/>
      </w:rPr>
    </w:lvl>
    <w:lvl w:ilvl="7">
      <w:start w:val="1"/>
      <w:numFmt w:val="bullet"/>
      <w:lvlText w:val=""/>
      <w:lvlJc w:val="left"/>
      <w:pPr>
        <w:tabs>
          <w:tab w:val="num" w:pos="5760"/>
        </w:tabs>
        <w:ind w:left="5760" w:hanging="360"/>
      </w:pPr>
      <w:rPr>
        <w:rFonts w:ascii="Symbol" w:hAnsi="Symbol" w:cs="Symbol" w:hint="default"/>
        <w:sz w:val="20"/>
        <w:rFonts w:cs="Symbol"/>
      </w:rPr>
    </w:lvl>
    <w:lvl w:ilvl="8">
      <w:start w:val="1"/>
      <w:numFmt w:val="bullet"/>
      <w:lvlText w:val=""/>
      <w:lvlJc w:val="left"/>
      <w:pPr>
        <w:tabs>
          <w:tab w:val="num" w:pos="6480"/>
        </w:tabs>
        <w:ind w:left="6480" w:hanging="360"/>
      </w:pPr>
      <w:rPr>
        <w:rFonts w:ascii="Symbol" w:hAnsi="Symbol" w:cs="Symbol" w:hint="default"/>
        <w:sz w:val="20"/>
        <w:rFonts w:cs="Symbol"/>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2160" w:hanging="360"/>
      </w:pPr>
      <w:rPr>
        <w:rFonts w:ascii="Symbol" w:hAnsi="Symbol" w:cs="Symbol" w:hint="default"/>
        <w:rFonts w:cs="Symbol"/>
      </w:rPr>
    </w:lvl>
    <w:lvl w:ilvl="1">
      <w:start w:val="1"/>
      <w:numFmt w:val="bullet"/>
      <w:lvlText w:val="o"/>
      <w:lvlJc w:val="left"/>
      <w:pPr>
        <w:ind w:left="2880" w:hanging="360"/>
      </w:pPr>
      <w:rPr>
        <w:rFonts w:ascii="Courier New" w:hAnsi="Courier New" w:cs="Courier New" w:hint="default"/>
        <w:rFonts w:cs="Courier New"/>
      </w:rPr>
    </w:lvl>
    <w:lvl w:ilvl="2">
      <w:start w:val="1"/>
      <w:numFmt w:val="bullet"/>
      <w:lvlText w:val=""/>
      <w:lvlJc w:val="left"/>
      <w:pPr>
        <w:ind w:left="3600" w:hanging="360"/>
      </w:pPr>
      <w:rPr>
        <w:rFonts w:ascii="Wingdings" w:hAnsi="Wingdings" w:cs="Wingdings" w:hint="default"/>
        <w:rFonts w:cs="Wingdings"/>
      </w:rPr>
    </w:lvl>
    <w:lvl w:ilvl="3">
      <w:start w:val="1"/>
      <w:numFmt w:val="bullet"/>
      <w:lvlText w:val=""/>
      <w:lvlJc w:val="left"/>
      <w:pPr>
        <w:ind w:left="4320" w:hanging="360"/>
      </w:pPr>
      <w:rPr>
        <w:rFonts w:ascii="Symbol" w:hAnsi="Symbol" w:cs="Symbol" w:hint="default"/>
        <w:rFonts w:cs="Symbol"/>
      </w:rPr>
    </w:lvl>
    <w:lvl w:ilvl="4">
      <w:start w:val="1"/>
      <w:numFmt w:val="bullet"/>
      <w:lvlText w:val="o"/>
      <w:lvlJc w:val="left"/>
      <w:pPr>
        <w:ind w:left="5040" w:hanging="360"/>
      </w:pPr>
      <w:rPr>
        <w:rFonts w:ascii="Courier New" w:hAnsi="Courier New" w:cs="Courier New" w:hint="default"/>
        <w:rFonts w:cs="Courier New"/>
      </w:rPr>
    </w:lvl>
    <w:lvl w:ilvl="5">
      <w:start w:val="1"/>
      <w:numFmt w:val="bullet"/>
      <w:lvlText w:val=""/>
      <w:lvlJc w:val="left"/>
      <w:pPr>
        <w:ind w:left="5760" w:hanging="360"/>
      </w:pPr>
      <w:rPr>
        <w:rFonts w:ascii="Wingdings" w:hAnsi="Wingdings" w:cs="Wingdings" w:hint="default"/>
        <w:rFonts w:cs="Wingdings"/>
      </w:rPr>
    </w:lvl>
    <w:lvl w:ilvl="6">
      <w:start w:val="1"/>
      <w:numFmt w:val="bullet"/>
      <w:lvlText w:val=""/>
      <w:lvlJc w:val="left"/>
      <w:pPr>
        <w:ind w:left="6480" w:hanging="360"/>
      </w:pPr>
      <w:rPr>
        <w:rFonts w:ascii="Symbol" w:hAnsi="Symbol" w:cs="Symbol" w:hint="default"/>
        <w:rFonts w:cs="Symbol"/>
      </w:rPr>
    </w:lvl>
    <w:lvl w:ilvl="7">
      <w:start w:val="1"/>
      <w:numFmt w:val="bullet"/>
      <w:lvlText w:val="o"/>
      <w:lvlJc w:val="left"/>
      <w:pPr>
        <w:ind w:left="7200" w:hanging="360"/>
      </w:pPr>
      <w:rPr>
        <w:rFonts w:ascii="Courier New" w:hAnsi="Courier New" w:cs="Courier New" w:hint="default"/>
        <w:rFonts w:cs="Courier New"/>
      </w:rPr>
    </w:lvl>
    <w:lvl w:ilvl="8">
      <w:start w:val="1"/>
      <w:numFmt w:val="bullet"/>
      <w:lvlText w:val=""/>
      <w:lvlJc w:val="left"/>
      <w:pPr>
        <w:ind w:left="792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2">
    <w:name w:val="Heading 2"/>
    <w:basedOn w:val="Normal"/>
    <w:link w:val="Heading2Char"/>
    <w:uiPriority w:val="9"/>
    <w:semiHidden/>
    <w:unhideWhenUsed/>
    <w:qFormat/>
    <w:rsid w:val="00405d30"/>
    <w:pPr>
      <w:keepNext w:val="true"/>
      <w:numPr>
        <w:ilvl w:val="0"/>
        <w:numId w:val="1"/>
      </w:numPr>
      <w:spacing w:lineRule="auto" w:line="276" w:before="240" w:after="60"/>
      <w:outlineLvl w:val="0"/>
    </w:pPr>
    <w:rPr>
      <w:rFonts w:ascii="Arial" w:hAnsi="Arial" w:cs="Arial"/>
      <w:b/>
      <w:bCs/>
      <w:lang w:eastAsia="zh-CN"/>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d2bac"/>
    <w:rPr/>
  </w:style>
  <w:style w:type="character" w:styleId="FooterChar" w:customStyle="1">
    <w:name w:val="Footer Char"/>
    <w:basedOn w:val="DefaultParagraphFont"/>
    <w:link w:val="Footer"/>
    <w:uiPriority w:val="99"/>
    <w:qFormat/>
    <w:rsid w:val="005d2bac"/>
    <w:rPr/>
  </w:style>
  <w:style w:type="character" w:styleId="InternetLink">
    <w:name w:val="Internet Link"/>
    <w:basedOn w:val="DefaultParagraphFont"/>
    <w:uiPriority w:val="99"/>
    <w:unhideWhenUsed/>
    <w:rsid w:val="00a22b92"/>
    <w:rPr>
      <w:color w:val="0563C1" w:themeColor="hyperlink"/>
      <w:u w:val="single"/>
    </w:rPr>
  </w:style>
  <w:style w:type="character" w:styleId="Annotationreference">
    <w:name w:val="annotation reference"/>
    <w:basedOn w:val="DefaultParagraphFont"/>
    <w:qFormat/>
    <w:rsid w:val="005131b1"/>
    <w:rPr>
      <w:sz w:val="16"/>
      <w:szCs w:val="16"/>
    </w:rPr>
  </w:style>
  <w:style w:type="character" w:styleId="CommentTextChar" w:customStyle="1">
    <w:name w:val="Comment Text Char"/>
    <w:basedOn w:val="DefaultParagraphFont"/>
    <w:link w:val="CommentText"/>
    <w:qFormat/>
    <w:rsid w:val="005131b1"/>
    <w:rPr>
      <w:rFonts w:ascii="Times New Roman" w:hAnsi="Times New Roman" w:eastAsia="Times New Roman" w:cs="Times New Roman"/>
      <w:sz w:val="20"/>
      <w:szCs w:val="20"/>
      <w:lang w:eastAsia="en-GB"/>
    </w:rPr>
  </w:style>
  <w:style w:type="character" w:styleId="BalloonTextChar" w:customStyle="1">
    <w:name w:val="Balloon Text Char"/>
    <w:basedOn w:val="DefaultParagraphFont"/>
    <w:link w:val="BalloonText"/>
    <w:uiPriority w:val="99"/>
    <w:semiHidden/>
    <w:qFormat/>
    <w:rsid w:val="005131b1"/>
    <w:rPr>
      <w:rFonts w:ascii="Segoe UI" w:hAnsi="Segoe UI" w:cs="Segoe UI"/>
      <w:sz w:val="18"/>
      <w:szCs w:val="18"/>
    </w:rPr>
  </w:style>
  <w:style w:type="character" w:styleId="FootnoteTextChar" w:customStyle="1">
    <w:name w:val="Footnote Text Char"/>
    <w:basedOn w:val="DefaultParagraphFont"/>
    <w:link w:val="FootnoteText"/>
    <w:uiPriority w:val="99"/>
    <w:semiHidden/>
    <w:qFormat/>
    <w:rsid w:val="002a6d11"/>
    <w:rPr>
      <w:sz w:val="20"/>
      <w:szCs w:val="20"/>
    </w:rPr>
  </w:style>
  <w:style w:type="character" w:styleId="FootnoteCharacters">
    <w:name w:val="Footnote Characters"/>
    <w:basedOn w:val="DefaultParagraphFont"/>
    <w:uiPriority w:val="99"/>
    <w:semiHidden/>
    <w:unhideWhenUsed/>
    <w:qFormat/>
    <w:rsid w:val="002a6d11"/>
    <w:rPr>
      <w:vertAlign w:val="superscript"/>
    </w:rPr>
  </w:style>
  <w:style w:type="character" w:styleId="FootnoteAnchor">
    <w:name w:val="Footnote Anchor"/>
    <w:rPr>
      <w:vertAlign w:val="superscript"/>
    </w:rPr>
  </w:style>
  <w:style w:type="character" w:styleId="FollowedHyperlink">
    <w:name w:val="FollowedHyperlink"/>
    <w:basedOn w:val="DefaultParagraphFont"/>
    <w:uiPriority w:val="99"/>
    <w:semiHidden/>
    <w:unhideWhenUsed/>
    <w:qFormat/>
    <w:rsid w:val="00a324f0"/>
    <w:rPr>
      <w:color w:val="954F72" w:themeColor="followedHyperlink"/>
      <w:u w:val="single"/>
    </w:rPr>
  </w:style>
  <w:style w:type="character" w:styleId="Heading2Char" w:customStyle="1">
    <w:name w:val="Heading 2 Char"/>
    <w:basedOn w:val="DefaultParagraphFont"/>
    <w:link w:val="Heading2"/>
    <w:uiPriority w:val="9"/>
    <w:semiHidden/>
    <w:qFormat/>
    <w:rsid w:val="00405d30"/>
    <w:rPr>
      <w:rFonts w:ascii="Arial" w:hAnsi="Arial" w:cs="Arial"/>
      <w:b/>
      <w:bCs/>
      <w:lang w:eastAsia="zh-CN"/>
    </w:rPr>
  </w:style>
  <w:style w:type="character" w:styleId="Strong">
    <w:name w:val="Strong"/>
    <w:basedOn w:val="DefaultParagraphFont"/>
    <w:uiPriority w:val="22"/>
    <w:qFormat/>
    <w:rsid w:val="00be6082"/>
    <w:rPr>
      <w:b/>
      <w:bCs/>
    </w:rPr>
  </w:style>
  <w:style w:type="character" w:styleId="ListParagraphChar" w:customStyle="1">
    <w:name w:val="List Paragraph Char"/>
    <w:basedOn w:val="DefaultParagraphFont"/>
    <w:link w:val="ListParagraph"/>
    <w:uiPriority w:val="34"/>
    <w:qFormat/>
    <w:rsid w:val="00be6082"/>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ascii="Arial" w:hAnsi="Arial" w:cs="Arial"/>
      <w:b/>
    </w:rPr>
  </w:style>
  <w:style w:type="character" w:styleId="ListLabel61">
    <w:name w:val="ListLabel 61"/>
    <w:qFormat/>
    <w:rPr>
      <w:rFonts w:cs="Symbol"/>
      <w:sz w:val="20"/>
    </w:rPr>
  </w:style>
  <w:style w:type="character" w:styleId="ListLabel62">
    <w:name w:val="ListLabel 62"/>
    <w:qFormat/>
    <w:rPr>
      <w:rFonts w:cs="Symbol"/>
      <w:sz w:val="20"/>
    </w:rPr>
  </w:style>
  <w:style w:type="character" w:styleId="ListLabel63">
    <w:name w:val="ListLabel 63"/>
    <w:qFormat/>
    <w:rPr>
      <w:rFonts w:cs="Symbol"/>
      <w:sz w:val="20"/>
    </w:rPr>
  </w:style>
  <w:style w:type="character" w:styleId="ListLabel64">
    <w:name w:val="ListLabel 64"/>
    <w:qFormat/>
    <w:rPr>
      <w:rFonts w:cs="Symbol"/>
      <w:sz w:val="20"/>
    </w:rPr>
  </w:style>
  <w:style w:type="character" w:styleId="ListLabel65">
    <w:name w:val="ListLabel 65"/>
    <w:qFormat/>
    <w:rPr>
      <w:rFonts w:cs="Symbol"/>
      <w:sz w:val="20"/>
    </w:rPr>
  </w:style>
  <w:style w:type="character" w:styleId="ListLabel66">
    <w:name w:val="ListLabel 66"/>
    <w:qFormat/>
    <w:rPr>
      <w:rFonts w:cs="Symbol"/>
      <w:sz w:val="20"/>
    </w:rPr>
  </w:style>
  <w:style w:type="character" w:styleId="ListLabel67">
    <w:name w:val="ListLabel 67"/>
    <w:qFormat/>
    <w:rPr>
      <w:rFonts w:cs="Symbol"/>
      <w:sz w:val="20"/>
    </w:rPr>
  </w:style>
  <w:style w:type="character" w:styleId="ListLabel68">
    <w:name w:val="ListLabel 68"/>
    <w:qFormat/>
    <w:rPr>
      <w:rFonts w:cs="Symbol"/>
      <w:sz w:val="20"/>
    </w:rPr>
  </w:style>
  <w:style w:type="character" w:styleId="ListLabel69">
    <w:name w:val="ListLabel 69"/>
    <w:qFormat/>
    <w:rPr>
      <w:rFonts w:ascii="Arial" w:hAnsi="Arial" w:cs="Symbol"/>
    </w:rPr>
  </w:style>
  <w:style w:type="character" w:styleId="ListLabel70">
    <w:name w:val="ListLabel 70"/>
    <w:qFormat/>
    <w:rPr>
      <w:rFonts w:cs="Courier New"/>
    </w:rPr>
  </w:style>
  <w:style w:type="character" w:styleId="ListLabel71">
    <w:name w:val="ListLabel 71"/>
    <w:qFormat/>
    <w:rPr>
      <w:rFonts w:cs="Wingdings"/>
    </w:rPr>
  </w:style>
  <w:style w:type="character" w:styleId="ListLabel72">
    <w:name w:val="ListLabel 72"/>
    <w:qFormat/>
    <w:rPr>
      <w:rFonts w:cs="Symbol"/>
    </w:rPr>
  </w:style>
  <w:style w:type="character" w:styleId="ListLabel73">
    <w:name w:val="ListLabel 73"/>
    <w:qFormat/>
    <w:rPr>
      <w:rFonts w:cs="Courier New"/>
    </w:rPr>
  </w:style>
  <w:style w:type="character" w:styleId="ListLabel74">
    <w:name w:val="ListLabel 74"/>
    <w:qFormat/>
    <w:rPr>
      <w:rFonts w:cs="Wingdings"/>
    </w:rPr>
  </w:style>
  <w:style w:type="character" w:styleId="ListLabel75">
    <w:name w:val="ListLabel 75"/>
    <w:qFormat/>
    <w:rPr>
      <w:rFonts w:cs="Symbol"/>
    </w:rPr>
  </w:style>
  <w:style w:type="character" w:styleId="ListLabel76">
    <w:name w:val="ListLabel 76"/>
    <w:qFormat/>
    <w:rPr>
      <w:rFonts w:cs="Courier New"/>
    </w:rPr>
  </w:style>
  <w:style w:type="character" w:styleId="ListLabel77">
    <w:name w:val="ListLabel 77"/>
    <w:qFormat/>
    <w:rPr>
      <w:rFonts w:cs="Wingdings"/>
    </w:rPr>
  </w:style>
  <w:style w:type="character" w:styleId="ListLabel78">
    <w:name w:val="ListLabel 78"/>
    <w:qFormat/>
    <w:rPr>
      <w:rFonts w:ascii="Arial" w:hAnsi="Arial" w:cs="Symbol"/>
    </w:rPr>
  </w:style>
  <w:style w:type="character" w:styleId="ListLabel79">
    <w:name w:val="ListLabel 79"/>
    <w:qFormat/>
    <w:rPr>
      <w:rFonts w:cs="Courier New"/>
    </w:rPr>
  </w:style>
  <w:style w:type="character" w:styleId="ListLabel80">
    <w:name w:val="ListLabel 80"/>
    <w:qFormat/>
    <w:rPr>
      <w:rFonts w:cs="Wingdings"/>
    </w:rPr>
  </w:style>
  <w:style w:type="character" w:styleId="ListLabel81">
    <w:name w:val="ListLabel 81"/>
    <w:qFormat/>
    <w:rPr>
      <w:rFonts w:cs="Symbol"/>
    </w:rPr>
  </w:style>
  <w:style w:type="character" w:styleId="ListLabel82">
    <w:name w:val="ListLabel 82"/>
    <w:qFormat/>
    <w:rPr>
      <w:rFonts w:cs="Courier New"/>
    </w:rPr>
  </w:style>
  <w:style w:type="character" w:styleId="ListLabel83">
    <w:name w:val="ListLabel 83"/>
    <w:qFormat/>
    <w:rPr>
      <w:rFonts w:cs="Wingdings"/>
    </w:rPr>
  </w:style>
  <w:style w:type="character" w:styleId="ListLabel84">
    <w:name w:val="ListLabel 84"/>
    <w:qFormat/>
    <w:rPr>
      <w:rFonts w:cs="Symbol"/>
    </w:rPr>
  </w:style>
  <w:style w:type="character" w:styleId="ListLabel85">
    <w:name w:val="ListLabel 85"/>
    <w:qFormat/>
    <w:rPr>
      <w:rFonts w:cs="Courier New"/>
    </w:rPr>
  </w:style>
  <w:style w:type="character" w:styleId="ListLabel86">
    <w:name w:val="ListLabel 86"/>
    <w:qFormat/>
    <w:rPr>
      <w:rFonts w:cs="Wingdings"/>
    </w:rPr>
  </w:style>
  <w:style w:type="character" w:styleId="ListLabel87">
    <w:name w:val="ListLabel 87"/>
    <w:qFormat/>
    <w:rPr>
      <w:rFonts w:ascii="Arial" w:hAnsi="Arial" w:cs="Arial"/>
      <w:b/>
    </w:rPr>
  </w:style>
  <w:style w:type="paragraph" w:styleId="Heading">
    <w:name w:val="Heading"/>
    <w:basedOn w:val="Normal"/>
    <w:next w:val="TextBody"/>
    <w:qFormat/>
    <w:pPr>
      <w:keepNext w:val="true"/>
      <w:spacing w:before="240" w:after="120"/>
    </w:pPr>
    <w:rPr>
      <w:rFonts w:ascii="Liberation Sans" w:hAnsi="Liberation Sans" w:eastAsia="DejaVu Sans"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
    <w:name w:val="Header"/>
    <w:basedOn w:val="Normal"/>
    <w:link w:val="HeaderChar"/>
    <w:uiPriority w:val="99"/>
    <w:unhideWhenUsed/>
    <w:rsid w:val="005d2bac"/>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5d2bac"/>
    <w:pPr>
      <w:tabs>
        <w:tab w:val="clear" w:pos="720"/>
        <w:tab w:val="center" w:pos="4513" w:leader="none"/>
        <w:tab w:val="right" w:pos="9026" w:leader="none"/>
      </w:tabs>
      <w:spacing w:lineRule="auto" w:line="240" w:before="0" w:after="0"/>
    </w:pPr>
    <w:rPr/>
  </w:style>
  <w:style w:type="paragraph" w:styleId="ListParagraph">
    <w:name w:val="List Paragraph"/>
    <w:basedOn w:val="Normal"/>
    <w:link w:val="ListParagraphChar"/>
    <w:uiPriority w:val="34"/>
    <w:qFormat/>
    <w:rsid w:val="003e4074"/>
    <w:pPr>
      <w:spacing w:before="0" w:after="160"/>
      <w:ind w:left="720" w:hanging="0"/>
      <w:contextualSpacing/>
    </w:pPr>
    <w:rPr/>
  </w:style>
  <w:style w:type="paragraph" w:styleId="Annotationtext">
    <w:name w:val="annotation text"/>
    <w:basedOn w:val="Normal"/>
    <w:link w:val="CommentTextChar"/>
    <w:qFormat/>
    <w:rsid w:val="005131b1"/>
    <w:pPr>
      <w:spacing w:lineRule="auto" w:line="240" w:before="0" w:after="0"/>
    </w:pPr>
    <w:rPr>
      <w:rFonts w:ascii="Times New Roman" w:hAnsi="Times New Roman" w:eastAsia="Times New Roman" w:cs="Times New Roman"/>
      <w:sz w:val="20"/>
      <w:szCs w:val="20"/>
      <w:lang w:eastAsia="en-GB"/>
    </w:rPr>
  </w:style>
  <w:style w:type="paragraph" w:styleId="BalloonText">
    <w:name w:val="Balloon Text"/>
    <w:basedOn w:val="Normal"/>
    <w:link w:val="BalloonTextChar"/>
    <w:uiPriority w:val="99"/>
    <w:semiHidden/>
    <w:unhideWhenUsed/>
    <w:qFormat/>
    <w:rsid w:val="005131b1"/>
    <w:pPr>
      <w:spacing w:lineRule="auto" w:line="240" w:before="0" w:after="0"/>
    </w:pPr>
    <w:rPr>
      <w:rFonts w:ascii="Segoe UI" w:hAnsi="Segoe UI" w:cs="Segoe UI"/>
      <w:sz w:val="18"/>
      <w:szCs w:val="18"/>
    </w:rPr>
  </w:style>
  <w:style w:type="paragraph" w:styleId="Footnote">
    <w:name w:val="Footnote Text"/>
    <w:basedOn w:val="Normal"/>
    <w:link w:val="FootnoteTextChar"/>
    <w:uiPriority w:val="99"/>
    <w:semiHidden/>
    <w:unhideWhenUsed/>
    <w:rsid w:val="002a6d11"/>
    <w:pPr>
      <w:spacing w:lineRule="auto" w:line="240" w:before="0" w:after="0"/>
    </w:pPr>
    <w:rPr>
      <w:sz w:val="20"/>
      <w:szCs w:val="20"/>
    </w:rPr>
  </w:style>
  <w:style w:type="paragraph" w:styleId="NormalWeb">
    <w:name w:val="Normal (Web)"/>
    <w:basedOn w:val="Normal"/>
    <w:uiPriority w:val="99"/>
    <w:semiHidden/>
    <w:unhideWhenUsed/>
    <w:qFormat/>
    <w:rsid w:val="00653d18"/>
    <w:pPr>
      <w:spacing w:lineRule="auto" w:line="240" w:before="0" w:after="240"/>
    </w:pPr>
    <w:rPr>
      <w:rFonts w:ascii="Times New Roman" w:hAnsi="Times New Roman" w:eastAsia="Times New Roman" w:cs="Times New Roman"/>
      <w:sz w:val="24"/>
      <w:szCs w:val="24"/>
      <w:lang w:eastAsia="en-GB"/>
    </w:rPr>
  </w:style>
  <w:style w:type="paragraph" w:styleId="Default" w:customStyle="1">
    <w:name w:val="default"/>
    <w:basedOn w:val="Normal"/>
    <w:qFormat/>
    <w:rsid w:val="00be6082"/>
    <w:pPr>
      <w:spacing w:lineRule="auto" w:line="240" w:beforeAutospacing="1" w:afterAutospacing="1"/>
    </w:pPr>
    <w:rPr>
      <w:rFonts w:ascii="Times New Roman" w:hAnsi="Times New Roman" w:eastAsia="Times New Roman" w:cs="Times New Roman"/>
      <w:sz w:val="24"/>
      <w:szCs w:val="24"/>
      <w:lang w:eastAsia="en-GB"/>
    </w:rPr>
  </w:style>
  <w:style w:type="paragraph" w:styleId="Default1" w:customStyle="1">
    <w:name w:val="Default"/>
    <w:qFormat/>
    <w:rsid w:val="00be6082"/>
    <w:pPr>
      <w:widowControl/>
      <w:bidi w:val="0"/>
      <w:spacing w:lineRule="auto" w:line="240" w:before="0" w:after="0"/>
      <w:jc w:val="left"/>
    </w:pPr>
    <w:rPr>
      <w:rFonts w:ascii="Franklin Gothic Medium" w:hAnsi="Franklin Gothic Medium" w:eastAsia="Calibri" w:cs="Franklin Gothic Medium"/>
      <w:color w:val="000000"/>
      <w:kern w:val="0"/>
      <w:sz w:val="24"/>
      <w:szCs w:val="24"/>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a22b9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5">
    <w:name w:val="List Table 3 Accent 5"/>
    <w:basedOn w:val="TableNormal"/>
    <w:uiPriority w:val="48"/>
    <w:rsid w:val="003e4074"/>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rPr>
      <w:tblPr/>
      <w:tcPr>
        <w:shd w:val="clear" w:color="auto" w:fill="4472C4" w:themeFill="accent5"/>
      </w:tcPr>
    </w:tblStylePr>
    <w:tblStylePr w:type="lastRow">
      <w:rPr>
        <w:b/>
        <w:bCs/>
      </w:rPr>
      <w:tblPr/>
      <w:tcPr>
        <w:tcBorders>
          <w:top w:val="double" w:color="4472C4"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5" w:sz="4" w:space="0"/>
          <w:right w:val="single" w:color="4472C4" w:themeColor="accent5" w:sz="4" w:space="0"/>
        </w:tcBorders>
      </w:tcPr>
    </w:tblStylePr>
    <w:tblStylePr w:type="band1Horz">
      <w:tblPr/>
      <w:tcPr>
        <w:tcBorders>
          <w:top w:val="single" w:color="4472C4" w:themeColor="accent5" w:sz="4" w:space="0"/>
          <w:bottom w:val="single" w:color="4472C4"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5" w:sz="4" w:space="0"/>
          <w:left w:val="nil"/>
        </w:tcBorders>
      </w:tcPr>
    </w:tblStylePr>
    <w:tblStylePr w:type="swCell">
      <w:tblPr/>
      <w:tcPr>
        <w:tcBorders>
          <w:top w:val="double" w:color="4472C4" w:themeColor="accent5" w:sz="4" w:space="0"/>
          <w:right w:val="nil"/>
        </w:tcBorders>
      </w:tcPr>
    </w:tblStylePr>
  </w:style>
  <w:style w:type="table" w:styleId="ListTable3-Accent1">
    <w:name w:val="List Table 3 Accent 1"/>
    <w:basedOn w:val="TableNormal"/>
    <w:uiPriority w:val="48"/>
    <w:rsid w:val="00676d9e"/>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rPr>
      <w:tblPr/>
      <w:tcPr>
        <w:shd w:val="clear" w:color="auto" w:fill="5B9BD5" w:themeFill="accent1"/>
      </w:tcPr>
    </w:tblStylePr>
    <w:tblStylePr w:type="lastRow">
      <w:rPr>
        <w:b/>
        <w:bCs/>
      </w:rPr>
      <w:tblPr/>
      <w:tcPr>
        <w:tcBorders>
          <w:top w:val="double" w:color="5B9BD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1" w:sz="4" w:space="0"/>
          <w:right w:val="single" w:color="5B9BD5" w:themeColor="accent1" w:sz="4" w:space="0"/>
        </w:tcBorders>
      </w:tcPr>
    </w:tblStylePr>
    <w:tblStylePr w:type="band1Horz">
      <w:tblPr/>
      <w:tcPr>
        <w:tcBorders>
          <w:top w:val="single" w:color="5B9BD5" w:themeColor="accent1" w:sz="4" w:space="0"/>
          <w:bottom w:val="single" w:color="5B9BD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1" w:sz="4" w:space="0"/>
          <w:left w:val="nil"/>
        </w:tcBorders>
      </w:tcPr>
    </w:tblStylePr>
    <w:tblStylePr w:type="swCell">
      <w:tblPr/>
      <w:tcPr>
        <w:tcBorders>
          <w:top w:val="double" w:color="5B9BD5" w:themeColor="accent1" w:sz="4" w:space="0"/>
          <w:right w:val="nil"/>
        </w:tcBorders>
      </w:tcPr>
    </w:tblStylePr>
  </w:style>
  <w:style w:type="table" w:styleId="LightList-Accent1">
    <w:name w:val="Light List Accent 1"/>
    <w:basedOn w:val="TableNormal"/>
    <w:uiPriority w:val="61"/>
    <w:rsid w:val="005131b1"/>
    <w:pPr>
      <w:spacing w:after="0" w:line="240" w:lineRule="auto"/>
    </w:pPr>
    <w:tblPr>
      <w:tblStyleRowBandSize w:val="1"/>
      <w:tblStyleColBandSize w:val="1"/>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Pr/>
    </w:tblStylePr>
    <w:tblStylePr w:type="lastCol">
      <w:rPr>
        <w:b/>
        <w:bCs/>
      </w:rPr>
      <w:tbl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LightShading-Accent1">
    <w:name w:val="Light Shading Accent 1"/>
    <w:basedOn w:val="TableNormal"/>
    <w:uiPriority w:val="60"/>
    <w:rsid w:val="005131b1"/>
    <w:pPr>
      <w:spacing w:after="0" w:line="240" w:lineRule="auto"/>
    </w:pPr>
    <w:rPr>
      <w:color w:val="2E74B5" w:themeColor="accent1" w:themeShade="bf"/>
    </w:rPr>
    <w:tblPr>
      <w:tblStyleRowBandSize w:val="1"/>
      <w:tblStyleColBandSize w:val="1"/>
      <w:tblBorders>
        <w:top w:val="single" w:color="5B9BD5" w:themeColor="accent1" w:sz="8" w:space="0"/>
        <w:bottom w:val="single" w:color="5B9BD5" w:themeColor="accent1" w:sz="8" w:space="0"/>
      </w:tblBorders>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DC155-8D5A-4A4D-AC55-12064563C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LibreOffice/6.1.5.2$Linux_X86_64 LibreOffice_project/10$Build-2</Application>
  <Pages>8</Pages>
  <Words>1325</Words>
  <Characters>7014</Characters>
  <CharactersWithSpaces>8237</CharactersWithSpaces>
  <Paragraphs>111</Paragraphs>
  <Company>University of Leicester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2021-06-02T10:25:19Z</dcterms:created>
  <dc:creator/>
  <dc:description/>
  <dc:language>en-GB</dc:language>
  <cp:lastModifiedBy/>
  <dcterms:modified xsi:type="dcterms:W3CDTF">2021-06-02T10:29:02Z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University of Leicester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